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c21e" w14:textId="293c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(немесе) өндіруді жүргізу кезінде пайдаланылатын теңіз объектілерін теңізде құру, орналастыру және пайдалану қағидаларын бекіту туралы" Қазақстан Республикасы Энергетика министрінің 2018 жылғы 28 сәуірдегі № 151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5 маусымдағы № 212-н/қ бұйрығы. Қазақстан Республикасының Әділет министрлігінде 2026 жылғы 15 маусымда № 38959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"Көмірсутектерді барлауды және (немесе) өндіруді жүргізу кезінде пайдаланылатын теңіз объектілерін теңізде құру, орналастыру және пайдалану қағидаларын бекіту туралы" Қазақстан Республикасы Энергетика министрінің 2018 жылғы 28 сәуірдегі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Көмірсутектерді барлауды және (немесе) өндіруді жүргізу кезінде пайдаланылатын теңіз объектілерін теңізде құру, орналастыру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теңіз объектілерін құру жұмыс жобалары Қазақстан Республикасы Құрылыс кодексінің </w:t>
      </w:r>
      <w:r>
        <w:rPr>
          <w:rFonts w:ascii="Times New Roman"/>
          <w:b w:val="false"/>
          <w:i w:val="false"/>
          <w:color w:val="000000"/>
          <w:sz w:val="28"/>
        </w:rPr>
        <w:t>13- тарауында</w:t>
      </w:r>
      <w:r>
        <w:rPr>
          <w:rFonts w:ascii="Times New Roman"/>
          <w:b w:val="false"/>
          <w:i w:val="false"/>
          <w:color w:val="000000"/>
          <w:sz w:val="28"/>
        </w:rPr>
        <w:t xml:space="preserve"> белгіленген тәртіппен бекітіледі және келісіледі.</w:t>
      </w:r>
    </w:p>
    <w:bookmarkEnd w:id="3"/>
    <w:bookmarkStart w:name="z6" w:id="4"/>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теңіз объектілерін жобалау алдында, Қазақстан Республикасы Құрылыс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инженерлік ізденістер (инженерлік-гидрографиялық, геодезиялық, геологиялық, гидрометеорологиялық)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xml:space="preserve">
      "19. Теңіз объектілерін құруды аяқтағаннан кейін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жер қойнауын пайдаланушы (мердігер) Қазақстан Республикасы Құрылыс кодексінің </w:t>
      </w:r>
      <w:r>
        <w:rPr>
          <w:rFonts w:ascii="Times New Roman"/>
          <w:b w:val="false"/>
          <w:i w:val="false"/>
          <w:color w:val="000000"/>
          <w:sz w:val="28"/>
        </w:rPr>
        <w:t>18-тарауына</w:t>
      </w:r>
      <w:r>
        <w:rPr>
          <w:rFonts w:ascii="Times New Roman"/>
          <w:b w:val="false"/>
          <w:i w:val="false"/>
          <w:color w:val="000000"/>
          <w:sz w:val="28"/>
        </w:rPr>
        <w:t xml:space="preserve"> сәйкес теңіз объектілерін пайдалануға қабылдауды қамтамасыз 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жаңа редакцияда жазылсын:</w:t>
      </w:r>
    </w:p>
    <w:bookmarkStart w:name="z10" w:id="6"/>
    <w:p>
      <w:pPr>
        <w:spacing w:after="0"/>
        <w:ind w:left="0"/>
        <w:jc w:val="both"/>
      </w:pPr>
      <w:r>
        <w:rPr>
          <w:rFonts w:ascii="Times New Roman"/>
          <w:b w:val="false"/>
          <w:i w:val="false"/>
          <w:color w:val="000000"/>
          <w:sz w:val="28"/>
        </w:rPr>
        <w:t xml:space="preserve">
      "39.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мұнай мен газды барлау және өндіруге арналған теңіз кемелері, оның ішінде жүзбелі бұрғылау қондырғыларын қоспағанда, теңіз объектілерін консервациялау және (немесе) жою жер қойнауы және жер қойнауын пайдалану туралы Қазақстан Республикасының заңнамасына сәйкес жүзеге асырылады.".</w:t>
      </w:r>
    </w:p>
    <w:bookmarkEnd w:id="6"/>
    <w:bookmarkStart w:name="z11" w:id="7"/>
    <w:p>
      <w:pPr>
        <w:spacing w:after="0"/>
        <w:ind w:left="0"/>
        <w:jc w:val="both"/>
      </w:pPr>
      <w:r>
        <w:rPr>
          <w:rFonts w:ascii="Times New Roman"/>
          <w:b w:val="false"/>
          <w:i w:val="false"/>
          <w:color w:val="000000"/>
          <w:sz w:val="28"/>
        </w:rPr>
        <w:t>
      2. Қазақстан Республикасы Энергетика министрлігінің Мұнай және газ салаларындағы мемлекеттік бақылау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Қорғаныс министрлігі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Су ресурстары және </w:t>
      </w:r>
    </w:p>
    <w:p>
      <w:pPr>
        <w:spacing w:after="0"/>
        <w:ind w:left="0"/>
        <w:jc w:val="both"/>
      </w:pPr>
      <w:r>
        <w:rPr>
          <w:rFonts w:ascii="Times New Roman"/>
          <w:b w:val="false"/>
          <w:i w:val="false"/>
          <w:color w:val="000000"/>
          <w:sz w:val="28"/>
        </w:rPr>
        <w:t>ирригация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