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7775" w14:textId="e697775">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8 мамырдағы № 228 бұйрығы. Қазақстан Республикасының Әділет министрлігінде 2026 жылғы 12 мамырда № 38700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"2) осы бұйрыққа 2-қосымшаға сәйкес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 бекітілсін.";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0" w:id="5"/>
    <w:p>
      <w:pPr>
        <w:spacing w:after="0"/>
        <w:ind w:left="0"/>
        <w:jc w:val="both"/>
      </w:pPr>
      <w:r>
        <w:rPr>
          <w:rFonts w:ascii="Times New Roman"/>
          <w:b w:val="false"/>
          <w:i w:val="false"/>
          <w:color w:val="000000"/>
          <w:sz w:val="28"/>
        </w:rPr>
        <w:t>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9, 10, 12, 13, 14 және 15-тармақтарын қоспағанда, мынадай формулалар бойынша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2" w:id="6"/>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"КЕЛІСІЛГЕН"</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"КЕЛІСІЛГЕН"</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Ұлттық экономика министрлігі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