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2aa9" w14:textId="8612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бекіту туралы" Қазақстан Республикасы Энергетика министрінің 2017 жылғы 28 қарашадағы № 416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4 наурыздағы № 107-н/қ бұйрығы. Қазақстан Республикасының Әділет министрлігінде 2026 жылғы 11 наурызда № 38117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бекіту туралы" Қазақстан Республикасы Энергетика министрінің 2017 жылғы 28 қарашадағы № 416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16098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"8) рұқсат етілген көлем – 2015 жылғы инвестиция көлемінің 700 (жеті жүз) пайызының және алдыңғы кезеңдерде (жылдарда) жасасқан жаңғыртуға, кеңейтуге, реконструкциялауға және (немесе) жаңартуға арналған қолданыстағы инвестициялық келісімдердің жаңғырту, кеңейту, реконструкциялау және (немесе) жаңарту инвестициялық бағдарламалары бойынша қажетті жыл сайынғы қайтару деңгейі сомасының айырмасы;".</w:t>
      </w:r>
    </w:p>
    <w:bookmarkEnd w:id="4"/>
    <w:bookmarkStart w:name="z9" w:id="5"/>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Қазақстан Республикасы Әділет министрлігінде осы бұйрықты мемлекеттік тіркеуді жүзеге асыруды;</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ресми интернет-ресурсында орналастыруды;</w:t>
      </w:r>
    </w:p>
    <w:bookmarkEnd w:id="7"/>
    <w:bookmarkStart w:name="z12" w:id="8"/>
    <w:p>
      <w:pPr>
        <w:spacing w:after="0"/>
        <w:ind w:left="0"/>
        <w:jc w:val="both"/>
      </w:pPr>
      <w:r>
        <w:rPr>
          <w:rFonts w:ascii="Times New Roman"/>
          <w:b w:val="false"/>
          <w:i w:val="false"/>
          <w:color w:val="000000"/>
          <w:sz w:val="28"/>
        </w:rPr>
        <w:t>
      3) Қазақстан Республикасы Әділет министрлігінде бұйрықты мемлекеттік тіркеуден өткізгеннен кейін он жұмыс күні ішінде осы тармақтың 1) және 2) тармақшаларында көзделген іс-шаралардың орындалғаны туралы ақпаратты Қазақстан Республикасы Энергетика министрлігінің Заң қызметі департаментіне ұсынуды қамтамасыз етсін.</w:t>
      </w:r>
    </w:p>
    <w:bookmarkEnd w:id="8"/>
    <w:bookmarkStart w:name="z13"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энергетика вице-министріне жүктелсін. </w:t>
      </w:r>
    </w:p>
    <w:bookmarkEnd w:id="9"/>
    <w:bookmarkStart w:name="z14" w:id="10"/>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