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41c" w14:textId="2119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меншікке немесе жер пайдалануға берілетін ауыл шаруашылығы мақсатындағы жер телімдерінің ең аз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22 қазандағы № 42-233 бірлескен шешімі және Алматы облысы әкімдігінің 2025 жылғы 22 қазандағы № 321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Кодексiнiң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облысында меншікке немесе жер пайдалануға берілетін ауыл шаруашылығы мақсатындағы жер телімдерінің ең аз мөлшерлерін белгілеу туралы" бірлескен Алматы облыстық мәслихатының 2011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51-286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және Алматы облысы әкімдігінің 2011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2080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Алматы облыстық мәслихатының 2025 жылғы 22 қазандағы №42-233 шешімі мен Алматы облысы әкімдігінің 2025 жылғы 22 қазандағы №321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мөлшерлерi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(гектармен)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құқығымен немесе уақытша жер пайдалану құқығымен берілетін ауыл шаруашылығы мақсатындағы жер телімдерінің ең аз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қожалығын жүргiзу үшiн Қазақстан Республикасының азаматтарына (ортақ үлестік меншік (үлестік жер пайдалану) құқығының қатысушыларына (мүшелеріне), қолданылмайды)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мемлекеттiк емес заңды тұлғаларына және олардың үлестес тұлғаларына тауарлы ауыл шаруашылығы өндiрiсiн жүргiзу үшiн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жер пайдалану құқығымен берілетін ауыл шаруашылығы мақсатындағы жер телімдерінің ең аз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 шетелдіктерге және азаматтығы жоқ адамдарға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заңды тұлғаларға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