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3d72" w14:textId="7ca3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Республикасының Қорғаныс және аэроғарыш өнеркәсібі министрінің 2018 жылғы 16 наурыздағы № 45/НҚ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2025 жылғы 18 желтоқсандағы № 664/НҚ бұйрығы. Қазақстан Республикасының Әділет министрлігінде 2025 жылғы 19 желтоқсанда № 37624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Республикасының Қорғаныс және аэроғарыш өнеркәсібі министрінің 2018 жылғы 16 наурыздағы № 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және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 (бұдан әрі – Қағидалар) "Ақпараттандыру туралы" Қазақстан Республикасы Заңының (бұдан әрі – Заң)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 және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62) тармақшасы</w:t>
      </w:r>
      <w:r>
        <w:rPr>
          <w:rFonts w:ascii="Times New Roman"/>
          <w:b w:val="false"/>
          <w:i w:val="false"/>
          <w:color w:val="000000"/>
          <w:sz w:val="28"/>
        </w:rPr>
        <w:t xml:space="preserve"> негізінде әзірленді және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берудің тәртібі мен мерзімдерін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"7. Қазақстан Республикасы Үкіметінің 2025 жылдың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бекітілетін АКИАМО тізбесі (бұдан әрі – Тізбе), әрбір АКИАМО иесінен алынған ақпарат негізінде және "МТҚ" АҚ уәкілетті органмен келісім бойынша БҰРП-ға беру үшін ЭАР резервтік көшірудің мерзімділігін белгілейді.". </w:t>
      </w:r>
    </w:p>
    <w:bookmarkEnd w:id="5"/>
    <w:bookmarkStart w:name="z13"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 </w:t>
      </w:r>
    </w:p>
    <w:bookmarkEnd w:id="6"/>
    <w:bookmarkStart w:name="z14"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7"/>
    <w:bookmarkStart w:name="z15" w:id="8"/>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w:t>
      </w:r>
    </w:p>
    <w:bookmarkEnd w:id="8"/>
    <w:bookmarkStart w:name="z16"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