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4313" w14:textId="3d54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берешектің шекті мөлшерін айқындау туралы</w:t>
      </w:r>
    </w:p>
    <w:p>
      <w:pPr>
        <w:spacing w:after="0"/>
        <w:ind w:left="0"/>
        <w:jc w:val="both"/>
      </w:pPr>
      <w:r>
        <w:rPr>
          <w:rFonts w:ascii="Times New Roman"/>
          <w:b w:val="false"/>
          <w:i w:val="false"/>
          <w:color w:val="000000"/>
          <w:sz w:val="28"/>
        </w:rPr>
        <w:t>Қазақстан Республикасы Қаржы министрінің 2025 жылғы 30 қыркүйектегі № 552 бұйрығы. Қазақстан Республикасының Әділет министрлігінде 2025 жылғы 1 қазанда № 37013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3-тармақтан қараңыз.</w:t>
      </w:r>
    </w:p>
    <w:bookmarkStart w:name="z1" w:id="0"/>
    <w:p>
      <w:pPr>
        <w:spacing w:after="0"/>
        <w:ind w:left="0"/>
        <w:jc w:val="both"/>
      </w:pPr>
      <w:r>
        <w:rPr>
          <w:rFonts w:ascii="Times New Roman"/>
          <w:b w:val="false"/>
          <w:i w:val="false"/>
          <w:color w:val="000000"/>
          <w:sz w:val="28"/>
        </w:rPr>
        <w:t xml:space="preserve">
      Қазақстан Республикасы Салық кодексінің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Салық төлеушіге – заңды тұлғаға, заңды тұлғаның құрылымдық бөлімшесіне, Қазақстан Республикасында қызметін тұрақты мекеме арқылы жүзеге асыратын бейрезидентке, дара кəсіпкерге, жеке практикамен айналысатын тұлғаға қойылатын салықтық берешектің шекті мөлшері айқындалсын, мына мөлшерден асқан кезде:</w:t>
      </w:r>
    </w:p>
    <w:bookmarkEnd w:id="1"/>
    <w:bookmarkStart w:name="z3" w:id="2"/>
    <w:p>
      <w:pPr>
        <w:spacing w:after="0"/>
        <w:ind w:left="0"/>
        <w:jc w:val="both"/>
      </w:pPr>
      <w:r>
        <w:rPr>
          <w:rFonts w:ascii="Times New Roman"/>
          <w:b w:val="false"/>
          <w:i w:val="false"/>
          <w:color w:val="000000"/>
          <w:sz w:val="28"/>
        </w:rPr>
        <w:t>
      1) айлық есептік көрсеткіштің 20 еселенген мөлшерде:</w:t>
      </w:r>
    </w:p>
    <w:bookmarkEnd w:id="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86-бабында</w:t>
      </w:r>
      <w:r>
        <w:rPr>
          <w:rFonts w:ascii="Times New Roman"/>
          <w:b w:val="false"/>
          <w:i w:val="false"/>
          <w:color w:val="000000"/>
          <w:sz w:val="28"/>
        </w:rPr>
        <w:t xml:space="preserve"> белгіленген тәртіппен салық төлеушінің (салық агентінің) банктік шоттары мен кассасы бойынша шығыс операцияларын тоқтату;</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185-бабында</w:t>
      </w:r>
      <w:r>
        <w:rPr>
          <w:rFonts w:ascii="Times New Roman"/>
          <w:b w:val="false"/>
          <w:i w:val="false"/>
          <w:color w:val="000000"/>
          <w:sz w:val="28"/>
        </w:rPr>
        <w:t xml:space="preserve"> белгіленген тәртіппен салық төлеушінің (салық агентінің) банктік шоттарындағы ақша есебінен өндіріп алу;</w:t>
      </w:r>
    </w:p>
    <w:bookmarkStart w:name="z4" w:id="3"/>
    <w:p>
      <w:pPr>
        <w:spacing w:after="0"/>
        <w:ind w:left="0"/>
        <w:jc w:val="both"/>
      </w:pPr>
      <w:r>
        <w:rPr>
          <w:rFonts w:ascii="Times New Roman"/>
          <w:b w:val="false"/>
          <w:i w:val="false"/>
          <w:color w:val="000000"/>
          <w:sz w:val="28"/>
        </w:rPr>
        <w:t>
      2) айлық есептік көрсеткіштің 45 еселенген мөлшерде:</w:t>
      </w:r>
    </w:p>
    <w:bookmarkEnd w:id="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87-бабында</w:t>
      </w:r>
      <w:r>
        <w:rPr>
          <w:rFonts w:ascii="Times New Roman"/>
          <w:b w:val="false"/>
          <w:i w:val="false"/>
          <w:color w:val="000000"/>
          <w:sz w:val="28"/>
        </w:rPr>
        <w:t xml:space="preserve"> белгіленген тәртіппен салық төлеушiнiң (салық агентінің) салық берешегінің сомасы шегінде мүлікке билік етуін шектеу;</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186-бабында</w:t>
      </w:r>
      <w:r>
        <w:rPr>
          <w:rFonts w:ascii="Times New Roman"/>
          <w:b w:val="false"/>
          <w:i w:val="false"/>
          <w:color w:val="000000"/>
          <w:sz w:val="28"/>
        </w:rPr>
        <w:t xml:space="preserve"> белгіленген тәртіппен салық төлеушінің (салық агентінің) дебиторлар шотынан салықтық берешегін өндіріп алу;</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187-бабында</w:t>
      </w:r>
      <w:r>
        <w:rPr>
          <w:rFonts w:ascii="Times New Roman"/>
          <w:b w:val="false"/>
          <w:i w:val="false"/>
          <w:color w:val="000000"/>
          <w:sz w:val="28"/>
        </w:rPr>
        <w:t xml:space="preserve"> белгіленген тәртіппен салық төлеушінің (салық агентінің) билік етуі шектелген мүлкін өткізу есебінен салықтық берешегін өндіріп алу;</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188-бабында</w:t>
      </w:r>
      <w:r>
        <w:rPr>
          <w:rFonts w:ascii="Times New Roman"/>
          <w:b w:val="false"/>
          <w:i w:val="false"/>
          <w:color w:val="000000"/>
          <w:sz w:val="28"/>
        </w:rPr>
        <w:t xml:space="preserve"> белгіленген тәртіппен салық төлеушінің (салық агентінің) жарияланған акцияларын мəжбүрлі түрде шығару;</w:t>
      </w:r>
    </w:p>
    <w:bookmarkStart w:name="z5" w:id="4"/>
    <w:p>
      <w:pPr>
        <w:spacing w:after="0"/>
        <w:ind w:left="0"/>
        <w:jc w:val="both"/>
      </w:pPr>
      <w:r>
        <w:rPr>
          <w:rFonts w:ascii="Times New Roman"/>
          <w:b w:val="false"/>
          <w:i w:val="false"/>
          <w:color w:val="000000"/>
          <w:sz w:val="28"/>
        </w:rPr>
        <w:t>
      3) айлық есептік көрсеткіштің 27 000 еселенген мөлшерде:</w:t>
      </w:r>
    </w:p>
    <w:bookmarkEnd w:id="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белгіленген тәртіппен заңды тұлғаның, заңды тұлға құрылымдық бөлімшесінің бірінші басшысының (оны алмастыратын адамның), дара кәсіпкердің және жеке практикамен айналысатын тұлғаның Қазақстан Республикасынан шығуын уақытша шектеу қолданылады.</w:t>
      </w:r>
    </w:p>
    <w:bookmarkStart w:name="z6" w:id="5"/>
    <w:p>
      <w:pPr>
        <w:spacing w:after="0"/>
        <w:ind w:left="0"/>
        <w:jc w:val="both"/>
      </w:pPr>
      <w:r>
        <w:rPr>
          <w:rFonts w:ascii="Times New Roman"/>
          <w:b w:val="false"/>
          <w:i w:val="false"/>
          <w:color w:val="000000"/>
          <w:sz w:val="28"/>
        </w:rPr>
        <w:t>
      Ескерту. 01.01.2026 бастап қолданысқа енгізіледі– осы бұйрықтың 3-тармағымен.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xml:space="preserve">
      3. Осы бұйрықтың 2026 жылғы 1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3) тармақшасын қоспағанда, осы бұйрық 2026 жылғы 1 қаңтардан бастап қолданысқа енгізіледі және ресми жариялауға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