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0a5a" w14:textId="97e0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"Скринингтік зерттеулерге жататын адамдардың нысаналы топтарын, сондай-ақ осы қарап-тексерулерді өткізудің қағидаларын, көлемі мен мерзімділігін бекіту туралы" Қазақстан Республикасы Денсаулық сақтау министрінің міндетін атқарушының 2020 жылғы 30 қазандағы № ҚР ДСМ-174/2020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29 шiлдедегi № 71 бұйрығы. Қазақстан Республикасының Әділет министрлігінде 2025 жылы 30 шiлдеде № 36536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"Скринингтік зерттеулерге жататын адамдардың нысаналы топтарын, сондай-ақ осы қарап-тексерулерді өткізудің қағидаларын, көлемі мен мерзімділігін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87-бабының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қаулысымен бекітілген Қазақстан Республикасының Денсаулық сақтау министрлігі туралы ережесінің 15-бабының </w:t>
      </w:r>
      <w:r>
        <w:rPr>
          <w:rFonts w:ascii="Times New Roman"/>
          <w:b w:val="false"/>
          <w:i w:val="false"/>
          <w:color w:val="000000"/>
          <w:sz w:val="28"/>
        </w:rPr>
        <w:t>301)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скринингтік зерттеулерге жататын адамдардың </w:t>
      </w:r>
      <w:r>
        <w:rPr>
          <w:rFonts w:ascii="Times New Roman"/>
          <w:b w:val="false"/>
          <w:i w:val="false"/>
          <w:color w:val="000000"/>
          <w:sz w:val="28"/>
        </w:rPr>
        <w:t>нысаналы топтары</w:t>
      </w:r>
      <w:r>
        <w:rPr>
          <w:rFonts w:ascii="Times New Roman"/>
          <w:b w:val="false"/>
          <w:i w:val="false"/>
          <w:color w:val="000000"/>
          <w:sz w:val="28"/>
        </w:rPr>
        <w:t xml:space="preserve"> осы бұйрыққа 1-қосымшаға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Скринингтік зерттеулерді өткізудің қағидалары, </w:t>
      </w:r>
      <w:r>
        <w:rPr>
          <w:rFonts w:ascii="Times New Roman"/>
          <w:b w:val="false"/>
          <w:i w:val="false"/>
          <w:color w:val="000000"/>
          <w:sz w:val="28"/>
        </w:rPr>
        <w:t>көлемі мен мерзімділігінде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"4. Скринингтік зерттеулер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скринингтік зерттеулерге жататын адамдардың нысаналы топтары (бұдан әрі – нысаналы топтар) арасында өткізіледі.";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"10. АЕК ұйымының мейіргері скринингтік зерттеудің бірінші кезеңі:</w:t>
      </w:r>
    </w:p>
    <w:bookmarkEnd w:id="6"/>
    <w:bookmarkStart w:name="z14" w:id="7"/>
    <w:p>
      <w:pPr>
        <w:spacing w:after="0"/>
        <w:ind w:left="0"/>
        <w:jc w:val="both"/>
      </w:pPr>
      <w:r>
        <w:rPr>
          <w:rFonts w:ascii="Times New Roman"/>
          <w:b w:val="false"/>
          <w:i w:val="false"/>
          <w:color w:val="000000"/>
          <w:sz w:val="28"/>
        </w:rPr>
        <w:t>
      зерттеу нәтижелерінің нормадан ауытқулары болмаған кезде;</w:t>
      </w:r>
    </w:p>
    <w:bookmarkEnd w:id="7"/>
    <w:bookmarkStart w:name="z15" w:id="8"/>
    <w:p>
      <w:pPr>
        <w:spacing w:after="0"/>
        <w:ind w:left="0"/>
        <w:jc w:val="both"/>
      </w:pPr>
      <w:r>
        <w:rPr>
          <w:rFonts w:ascii="Times New Roman"/>
          <w:b w:val="false"/>
          <w:i w:val="false"/>
          <w:color w:val="000000"/>
          <w:sz w:val="28"/>
        </w:rPr>
        <w:t>
      саламатты өмір салты бойынша консультациялар және мінез-құлықты өзгерту бойынша ұсынымдар жүргізгеннен кейін денсаулыққа қауіп факторларының (ДСИ&gt;25, зиянды әдеттер, ұйқы мен демалыс режимінің бұзылуы) болуын белгілеген кезде аяқтайды.";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"11. Скринингтік зерттеулердің екінші кезеңі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толық зерттеп-қарау арқылы зерттеу нәтижелерінің нормадан ауытқу себептерін белгілеу үшін өткізіледі.</w:t>
      </w:r>
    </w:p>
    <w:bookmarkEnd w:id="9"/>
    <w:bookmarkStart w:name="z18" w:id="10"/>
    <w:p>
      <w:pPr>
        <w:spacing w:after="0"/>
        <w:ind w:left="0"/>
        <w:jc w:val="both"/>
      </w:pPr>
      <w:r>
        <w:rPr>
          <w:rFonts w:ascii="Times New Roman"/>
          <w:b w:val="false"/>
          <w:i w:val="false"/>
          <w:color w:val="000000"/>
          <w:sz w:val="28"/>
        </w:rPr>
        <w:t>
      12. Пациентте зерттеу нәтижелерінің нормадан ауытқулар болған кезде АЕК ұйымының дәрігері скринингтік зерттеу түріне байланысты МАЖ-да жолдаманы қалыптастыру арқылы оны скринингтің екінші кезеңіне жібереді.</w:t>
      </w:r>
    </w:p>
    <w:bookmarkEnd w:id="10"/>
    <w:bookmarkStart w:name="z19" w:id="11"/>
    <w:p>
      <w:pPr>
        <w:spacing w:after="0"/>
        <w:ind w:left="0"/>
        <w:jc w:val="both"/>
      </w:pPr>
      <w:r>
        <w:rPr>
          <w:rFonts w:ascii="Times New Roman"/>
          <w:b w:val="false"/>
          <w:i w:val="false"/>
          <w:color w:val="000000"/>
          <w:sz w:val="28"/>
        </w:rPr>
        <w:t>
      Скринингтік зертеулердің екінші кезеңінің көлеміне сәйкес келетін бұрын көрсетілген (соңғы үш ай ішінде) медициналық қызметтердің нәтижелері болған кезде АЕК ұйымының дәрігері клиникалық диагнозды белгілей отырып, скринингті аяқтайды.";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"17. Скринингтік зерттеулер барысында анықталған созылмалы аурулары бар пациенттер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21262 болып тіркелген) сәйкес есепке алынуға және динамикалық байқауға жатады.</w:t>
      </w:r>
    </w:p>
    <w:bookmarkEnd w:id="12"/>
    <w:bookmarkStart w:name="z22" w:id="13"/>
    <w:p>
      <w:pPr>
        <w:spacing w:after="0"/>
        <w:ind w:left="0"/>
        <w:jc w:val="both"/>
      </w:pPr>
      <w:r>
        <w:rPr>
          <w:rFonts w:ascii="Times New Roman"/>
          <w:b w:val="false"/>
          <w:i w:val="false"/>
          <w:color w:val="000000"/>
          <w:sz w:val="28"/>
        </w:rPr>
        <w:t>
      Жіті аурулар анықталған кезде зерттеп-қарау жүргізіледі, толық сауыққанға дейін пациенттің денсаулық жағдайын кейіннен бағалау арқылы емдеу тағайындалады.</w:t>
      </w:r>
    </w:p>
    <w:bookmarkEnd w:id="13"/>
    <w:bookmarkStart w:name="z23" w:id="14"/>
    <w:p>
      <w:pPr>
        <w:spacing w:after="0"/>
        <w:ind w:left="0"/>
        <w:jc w:val="both"/>
      </w:pPr>
      <w:r>
        <w:rPr>
          <w:rFonts w:ascii="Times New Roman"/>
          <w:b w:val="false"/>
          <w:i w:val="false"/>
          <w:color w:val="000000"/>
          <w:sz w:val="28"/>
        </w:rPr>
        <w:t>
      Скринингтік зерттеулерден өтпеген нысаналы топқа (жүктілігі, ауруы, бекітілген орнының өзгеруі, елден тыс жерлерге уақытша шығуы себептері бойынша және азамат скринингтік зерттеулерден өтуден бас тартқан жағдайда) белгіленген мерзімділігін сақтай отырып, келесі күнтізбелік жыл ішінде скринингтік зерттеулерді жүргізуге жол беріледі.</w:t>
      </w:r>
    </w:p>
    <w:bookmarkEnd w:id="14"/>
    <w:bookmarkStart w:name="z24" w:id="15"/>
    <w:p>
      <w:pPr>
        <w:spacing w:after="0"/>
        <w:ind w:left="0"/>
        <w:jc w:val="both"/>
      </w:pPr>
      <w:r>
        <w:rPr>
          <w:rFonts w:ascii="Times New Roman"/>
          <w:b w:val="false"/>
          <w:i w:val="false"/>
          <w:color w:val="000000"/>
          <w:sz w:val="28"/>
        </w:rPr>
        <w:t>
      Қорытынды кезеңде АЕК ұйыдарының дәрігері МАЖ-ға мінез-құлықтық қауіп факторларын, қорытынды диагнозды бөліп көрсете отырып скринингтік зерттеулердің нәтижелерін енгізеді, толық зерттеп-қарау, байқау бойынша ұсынымдар береді, сондай-ақ мынадай скринингті аяқтау негіздерін көрсетеді: скринингтік зерттеулерді аяқтау, скрининг мерзімдерінің өтуі, пациенттің қайтыс болуы, АЕК басқа ұйымына бекітілуі.</w:t>
      </w:r>
    </w:p>
    <w:bookmarkEnd w:id="15"/>
    <w:bookmarkStart w:name="z25" w:id="16"/>
    <w:p>
      <w:pPr>
        <w:spacing w:after="0"/>
        <w:ind w:left="0"/>
        <w:jc w:val="both"/>
      </w:pPr>
      <w:r>
        <w:rPr>
          <w:rFonts w:ascii="Times New Roman"/>
          <w:b w:val="false"/>
          <w:i w:val="false"/>
          <w:color w:val="000000"/>
          <w:sz w:val="28"/>
        </w:rPr>
        <w:t>
      Жағдайдың аяқталуы – МСАК ұйымына диагностика (қорытынды диагноз), емдеу (нәтижесі (көмек көрсету нәтижесі) бойынша жүгінуіне сәйкес қызмет көрсету бағытының соңында шешімді МАЖ-да тіркеу.</w:t>
      </w:r>
    </w:p>
    <w:bookmarkEnd w:id="16"/>
    <w:bookmarkStart w:name="z26" w:id="17"/>
    <w:p>
      <w:pPr>
        <w:spacing w:after="0"/>
        <w:ind w:left="0"/>
        <w:jc w:val="both"/>
      </w:pPr>
      <w:r>
        <w:rPr>
          <w:rFonts w:ascii="Times New Roman"/>
          <w:b w:val="false"/>
          <w:i w:val="false"/>
          <w:color w:val="000000"/>
          <w:sz w:val="28"/>
        </w:rPr>
        <w:t>
      Жүргізілген скринингтік зерттеулердің нәтижелерін осы зерттеулерді жүзеге асыратын денсаулық сақтау субъектілері электрондық денсаулық паспортына енгізеді.</w:t>
      </w:r>
    </w:p>
    <w:bookmarkEnd w:id="17"/>
    <w:bookmarkStart w:name="z27" w:id="18"/>
    <w:p>
      <w:pPr>
        <w:spacing w:after="0"/>
        <w:ind w:left="0"/>
        <w:jc w:val="both"/>
      </w:pPr>
      <w:r>
        <w:rPr>
          <w:rFonts w:ascii="Times New Roman"/>
          <w:b w:val="false"/>
          <w:i w:val="false"/>
          <w:color w:val="000000"/>
          <w:sz w:val="28"/>
        </w:rPr>
        <w:t>
      Техникалық мүмкіндік болмаған кезде медициналық құжаттама кейіннен МАЖ-ға бір күнтізбелік айдан кешіктірілмей енгізіле отырып, қағаз түрінде ресімделеді.";</w:t>
      </w:r>
    </w:p>
    <w:bookmarkEnd w:id="18"/>
    <w:bookmarkStart w:name="z28"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9"/>
    <w:bookmarkStart w:name="z29" w:id="2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0"/>
    <w:bookmarkStart w:name="z30"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31" w:id="2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22"/>
    <w:bookmarkStart w:name="z32" w:id="23"/>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3"/>
    <w:bookmarkStart w:name="z33"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4"/>
    <w:bookmarkStart w:name="z34"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29 шілдедегі</w:t>
            </w:r>
            <w:r>
              <w:br/>
            </w:r>
            <w:r>
              <w:rPr>
                <w:rFonts w:ascii="Times New Roman"/>
                <w:b w:val="false"/>
                <w:i w:val="false"/>
                <w:color w:val="000000"/>
                <w:sz w:val="20"/>
              </w:rPr>
              <w:t>№ 71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30 қазандағы</w:t>
            </w:r>
            <w:r>
              <w:br/>
            </w:r>
            <w:r>
              <w:rPr>
                <w:rFonts w:ascii="Times New Roman"/>
                <w:b w:val="false"/>
                <w:i w:val="false"/>
                <w:color w:val="000000"/>
                <w:sz w:val="20"/>
              </w:rPr>
              <w:t>№ ҚР ДСМ-174/2020 бұйрығына</w:t>
            </w:r>
            <w:r>
              <w:br/>
            </w:r>
            <w:r>
              <w:rPr>
                <w:rFonts w:ascii="Times New Roman"/>
                <w:b w:val="false"/>
                <w:i w:val="false"/>
                <w:color w:val="000000"/>
                <w:sz w:val="20"/>
              </w:rPr>
              <w:t>1-қосымша</w:t>
            </w:r>
          </w:p>
        </w:tc>
      </w:tr>
    </w:tbl>
    <w:bookmarkStart w:name="z37" w:id="26"/>
    <w:p>
      <w:pPr>
        <w:spacing w:after="0"/>
        <w:ind w:left="0"/>
        <w:jc w:val="left"/>
      </w:pPr>
      <w:r>
        <w:rPr>
          <w:rFonts w:ascii="Times New Roman"/>
          <w:b/>
          <w:i w:val="false"/>
          <w:color w:val="000000"/>
        </w:rPr>
        <w:t xml:space="preserve"> Скринингтік зерттеулерге жататын адамдардың нысаналы топтары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Р/с</w:t>
            </w:r>
          </w:p>
          <w:bookmarkEnd w:id="2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артериялық гипертензия, жүректің ишемиялық ауруы, қант диабеті, глаукома және мінез-құлық қауіп факторларымен динамикалық байқауда тұрмаған, 40, 42, 44, 46, 48, 50, 52, 54, 56, 58, 60, 62, 64, 66, 68, 70, 72, 74, 76 жастағы*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жүректің ишемиялық ауруы, қант диабеті, глаукома және мінез-құлық қауіп факторларын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сүт безінің қатерлі ісіктерімен динамикалық байқауда тұрмаған 40, 42, 44, 46, 48, 50, 52, 54, 56, 58, 60, 62, 64, 66, 68, 70, 72, 74, 76 жастағы*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жатыр мойнының қатерлі ісіктерімен динамикалық байқауда тұрмаған 30, 34, 38, 42, 46, 50, 54, 58, 62, 66, 70, 74 жастағы*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тоқ ішектің қатерсіз және қатерлі ісіктерімен динамикалық байқауда тұрмаған 50, 52, 54, 56, 58, 60, 62, 64, 66, 68, 70, 72, 74, 76 жастағы*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Колоректальды обырды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топ жасына жеткен Цереброваскулярлық аурулар бойынша динамикалық байқауда тұрмаған 50, 52, 54, 56, 58, 60, 62, 64, 66, 68, 70, 72, 74, 76 жастағы* 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 қанайналым бұзылуының даму қаупін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Тәуекел топтары: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 жұмыскерлері: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инвазивті емшараларды жүргізетін, қан өндіруге қатысатын, гемодиализбен айналысатын қан қызметі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хирургиялық, стоматологиялық, гинекологиялық, акушерлік, гематологиялық бейіндер, сонымен қатар диагностика мен емдеудің инвазивті әдістерін жүргізетін;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 клиникалық, иммунологиялық, вирусологиялық, бактериологиялық, паразитологиялық зертханалар;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және шұғыл хирургиялық араласуларға жатқызылған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гемодиализ, гематология, онкология, трансплантация, жүрек-қан тамырлары және өкпе хирургиясы орталықтары мен бөлімшелерінің пациенттері;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гемотрансфузия, ағзаларды (ағзалардың бөліктерін), тіндерді, жыныстық, феталдық, дің жасушаларын және биологиялық материалдарды трансплантаттау және ауыстырып салатын пациенттер;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жүкті әйелдер;</w:t>
            </w:r>
          </w:p>
          <w:p>
            <w:pPr>
              <w:spacing w:after="20"/>
              <w:ind w:left="20"/>
              <w:jc w:val="both"/>
            </w:pPr>
            <w:r>
              <w:rPr>
                <w:rFonts w:ascii="Times New Roman"/>
                <w:b w:val="false"/>
                <w:i w:val="false"/>
                <w:color w:val="000000"/>
                <w:sz w:val="20"/>
              </w:rPr>
              <w:t>
6) өмір салтынының ерекшеліктеріне байланысты АИТВ-инфекциясын жұқтырудың жоғары тәуекеліне ұшырайтын халықтың негізгі топтарындағы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гепатитін ерте анықтау үшін (2-кезең)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жыл болып күнтізбелік жылдың кезеңі есептеледі (қаңтардан желтоқсанға дейін), ол кезеңде нысаналы топ өкілі белгіленген жасқа жетеді.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29 шілдедегі</w:t>
            </w:r>
            <w:r>
              <w:br/>
            </w:r>
            <w:r>
              <w:rPr>
                <w:rFonts w:ascii="Times New Roman"/>
                <w:b w:val="false"/>
                <w:i w:val="false"/>
                <w:color w:val="000000"/>
                <w:sz w:val="20"/>
              </w:rPr>
              <w:t>№ 71 бұйрыққа</w:t>
            </w:r>
            <w:r>
              <w:br/>
            </w:r>
            <w:r>
              <w:rPr>
                <w:rFonts w:ascii="Times New Roman"/>
                <w:b w:val="false"/>
                <w:i w:val="false"/>
                <w:color w:val="000000"/>
                <w:sz w:val="20"/>
              </w:rPr>
              <w:t>2-қосымша</w:t>
            </w:r>
            <w:r>
              <w:br/>
            </w:r>
            <w:r>
              <w:rPr>
                <w:rFonts w:ascii="Times New Roman"/>
                <w:b w:val="false"/>
                <w:i w:val="false"/>
                <w:color w:val="000000"/>
                <w:sz w:val="20"/>
              </w:rPr>
              <w:t>Скринингтік зерттеулерді</w:t>
            </w:r>
            <w:r>
              <w:br/>
            </w:r>
            <w:r>
              <w:rPr>
                <w:rFonts w:ascii="Times New Roman"/>
                <w:b w:val="false"/>
                <w:i w:val="false"/>
                <w:color w:val="000000"/>
                <w:sz w:val="20"/>
              </w:rPr>
              <w:t>жүргізудің қағидалары,</w:t>
            </w:r>
            <w:r>
              <w:br/>
            </w:r>
            <w:r>
              <w:rPr>
                <w:rFonts w:ascii="Times New Roman"/>
                <w:b w:val="false"/>
                <w:i w:val="false"/>
                <w:color w:val="000000"/>
                <w:sz w:val="20"/>
              </w:rPr>
              <w:t>көлемі мен мерзімділігіне</w:t>
            </w:r>
            <w:r>
              <w:br/>
            </w:r>
            <w:r>
              <w:rPr>
                <w:rFonts w:ascii="Times New Roman"/>
                <w:b w:val="false"/>
                <w:i w:val="false"/>
                <w:color w:val="000000"/>
                <w:sz w:val="20"/>
              </w:rPr>
              <w:t>1-қосымша/</w:t>
            </w:r>
          </w:p>
        </w:tc>
      </w:tr>
    </w:tbl>
    <w:bookmarkStart w:name="z49" w:id="29"/>
    <w:p>
      <w:pPr>
        <w:spacing w:after="0"/>
        <w:ind w:left="0"/>
        <w:jc w:val="left"/>
      </w:pPr>
      <w:r>
        <w:rPr>
          <w:rFonts w:ascii="Times New Roman"/>
          <w:b/>
          <w:i w:val="false"/>
          <w:color w:val="000000"/>
        </w:rPr>
        <w:t xml:space="preserve"> Скринингтік зерттеулерге жататын адамдардың нысаналы топтарын скринингтік зерттеулердің көлемі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топтамасының атауы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Z13.8 кодына сәйкес артериялық гипертензия, жүректің ишемиялық ауруы, қант диабеті, глаукома және мінез-құлық қауіп факторларымен динамикалық бақылауда тұрмаған, 40, 42, 44, 46, 48, 50, 52, 54, 56, 58, 60, 62, 64, 66, 68, 70, 72, 74, 76 жастағы ерлер мен 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Қабылдау: мейіргер не фельдшер;</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Қан сарысуындағы төмен тығыздықты липопротеидтерді анализатор көмегімен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Қан сарысуындағы триглицеридтерді талдауыш көмегімен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Қан сарысуындағы глюкозирленген глюкозаны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Маклаков бойынша көзішілік қысымды өлшеу не жанаспайтын пневмотонометрия</w:t>
            </w:r>
          </w:p>
          <w:p>
            <w:pPr>
              <w:spacing w:after="20"/>
              <w:ind w:left="20"/>
              <w:jc w:val="both"/>
            </w:pPr>
            <w:r>
              <w:rPr>
                <w:rFonts w:ascii="Times New Roman"/>
                <w:b w:val="false"/>
                <w:i w:val="false"/>
                <w:color w:val="000000"/>
                <w:sz w:val="20"/>
              </w:rPr>
              <w:t>
Қабылдау (1-кезеңді аяқтау немесе 2-кезеңге жіберу үшін):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жүректің ишемиялық ауруына күдік болған кезде электрокардиографиялық зерттеуді (12 жалғамы)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Глаукомаға күдік туғанда офтальмологтың консультациясы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Z13.6 кодына сәйкес цереброваскулярлық аурулар бойынша динамикалық байқауда тұрмаған 50, 52, 54, 56, 58, 60, 62, 64, 66, 68, 70, 72, 74, 76 жастағы ерлер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бағанның УДДГ-сы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Тамырлы хирург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ТМККК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Z12.3 кодына сәйкес сүт безінің қатерлі ісіктерімен динамикалық байқауда тұрмаған 40, 42, 44, 46, 48, 50, 52, 54, 56, 58, 60, 62, 64, 66, 68, 70, 72, 74, 76 жастағы әйелдер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Қабылдау: Мейіргер, фельдшер</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Маммография (4 сурет)</w:t>
            </w:r>
          </w:p>
          <w:p>
            <w:pPr>
              <w:spacing w:after="20"/>
              <w:ind w:left="20"/>
              <w:jc w:val="both"/>
            </w:pPr>
            <w:r>
              <w:rPr>
                <w:rFonts w:ascii="Times New Roman"/>
                <w:b w:val="false"/>
                <w:i w:val="false"/>
                <w:color w:val="000000"/>
                <w:sz w:val="20"/>
              </w:rPr>
              <w:t>
Қабылдау (1-кезеңді аяқтау немесе 2-кезеңге жіберу үшін):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Консультация (рентгенограмманы екінші рет оқу);</w:t>
            </w:r>
          </w:p>
          <w:bookmarkEnd w:id="32"/>
          <w:p>
            <w:pPr>
              <w:spacing w:after="20"/>
              <w:ind w:left="20"/>
              <w:jc w:val="both"/>
            </w:pPr>
            <w:r>
              <w:rPr>
                <w:rFonts w:ascii="Times New Roman"/>
                <w:b w:val="false"/>
                <w:i w:val="false"/>
                <w:color w:val="000000"/>
                <w:sz w:val="20"/>
              </w:rPr>
              <w:t>
Консультация: Рентгенолог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Сүт бездерінің ультрадыбыстық зерттеуі;</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Мақсатты маммография (1 проекция);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бойынша стереотактикалық жетекшілікпен пункциялық/аспирациялық биопсия;</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бойынша 3-күрделілік санатындағы операциялық-биопсиялық материалының 1 блок-препаратын гистологиялық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бойынша трепанбиопсия;</w:t>
            </w:r>
          </w:p>
          <w:p>
            <w:pPr>
              <w:spacing w:after="20"/>
              <w:ind w:left="20"/>
              <w:jc w:val="both"/>
            </w:pPr>
            <w:r>
              <w:rPr>
                <w:rFonts w:ascii="Times New Roman"/>
                <w:b w:val="false"/>
                <w:i w:val="false"/>
                <w:color w:val="000000"/>
                <w:sz w:val="20"/>
              </w:rPr>
              <w:t>
Консультация: онколог не онколог-хирург не маммолог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Z12.4 кодына сәйкес жатыр мойнының қатерлі ісіктерімен динамикалық байқауда тұрмаған 30, 34, 38, 42, 46, 50, 54, 58, 62, 66, 70, 74 жастағы әйелдер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4"/>
          <w:p>
            <w:pPr>
              <w:spacing w:after="20"/>
              <w:ind w:left="20"/>
              <w:jc w:val="both"/>
            </w:pPr>
            <w:r>
              <w:rPr>
                <w:rFonts w:ascii="Times New Roman"/>
                <w:b w:val="false"/>
                <w:i w:val="false"/>
                <w:color w:val="000000"/>
                <w:sz w:val="20"/>
              </w:rPr>
              <w:t>
Қабылдау: Мейіргер не фельдшер не акушер;</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Онкоцитологияға жағынды алу;</w:t>
            </w:r>
          </w:p>
          <w:p>
            <w:pPr>
              <w:spacing w:after="20"/>
              <w:ind w:left="20"/>
              <w:jc w:val="both"/>
            </w:pPr>
            <w:r>
              <w:rPr>
                <w:rFonts w:ascii="Times New Roman"/>
                <w:b w:val="false"/>
                <w:i w:val="false"/>
                <w:color w:val="000000"/>
                <w:sz w:val="20"/>
              </w:rPr>
              <w:t>
Қабылдау (1-кезеңді аяқтау немесе 2-кезеңге жіберу үшін):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жағынды цитологиялық зерттеу сұйықтық цитология аппаратындағы ПАП-тест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5"/>
          <w:p>
            <w:pPr>
              <w:spacing w:after="20"/>
              <w:ind w:left="20"/>
              <w:jc w:val="both"/>
            </w:pPr>
            <w:r>
              <w:rPr>
                <w:rFonts w:ascii="Times New Roman"/>
                <w:b w:val="false"/>
                <w:i w:val="false"/>
                <w:color w:val="000000"/>
                <w:sz w:val="20"/>
              </w:rPr>
              <w:t>
Консультация: акушер-гинеколог;</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Бейнекольпоскопия немесе кольпоскопия;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бойынша жатыр мойны биопсиясы;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бойынша 3-күрделілік санатындағы операциялық-биопсиялық материалының 1 блок-препаратын гистологиялық зерттеу;</w:t>
            </w:r>
          </w:p>
          <w:p>
            <w:pPr>
              <w:spacing w:after="20"/>
              <w:ind w:left="20"/>
              <w:jc w:val="both"/>
            </w:pPr>
            <w:r>
              <w:rPr>
                <w:rFonts w:ascii="Times New Roman"/>
                <w:b w:val="false"/>
                <w:i w:val="false"/>
                <w:color w:val="000000"/>
                <w:sz w:val="20"/>
              </w:rPr>
              <w:t>
Консультация: Онколог не онколог-хирург не онколог-гинеколог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Нысаналы топ жасына жеткен Z12.1 кодына сәйкес жуан ішектің</w:t>
            </w:r>
          </w:p>
          <w:bookmarkEnd w:id="36"/>
          <w:p>
            <w:pPr>
              <w:spacing w:after="20"/>
              <w:ind w:left="20"/>
              <w:jc w:val="both"/>
            </w:pPr>
            <w:r>
              <w:rPr>
                <w:rFonts w:ascii="Times New Roman"/>
                <w:b w:val="false"/>
                <w:i w:val="false"/>
                <w:color w:val="000000"/>
                <w:sz w:val="20"/>
              </w:rPr>
              <w:t>
қатерлі және қатерсіз ісіктерімен динамикалық байқауда тұрмаған 50, 52, 54, 56, 58, 60, 62, 64, 66, 68, 70, 72, 74, 76 жастағы ерлер мен әйелдер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 жасырын қанды анықтау (гемокульт-сынама)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(1-кезеңді аяқтау не 2-кезеңге жіберу үшін):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7"/>
          <w:p>
            <w:pPr>
              <w:spacing w:after="20"/>
              <w:ind w:left="20"/>
              <w:jc w:val="both"/>
            </w:pPr>
            <w:r>
              <w:rPr>
                <w:rFonts w:ascii="Times New Roman"/>
                <w:b w:val="false"/>
                <w:i w:val="false"/>
                <w:color w:val="000000"/>
                <w:sz w:val="20"/>
              </w:rPr>
              <w:t>
Көрсетілімдер бойынша ішкі тамыр арқылы анестезия</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Жаппай скринингтік бейнеколоноскопия;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Көрсетілімдер бойынша 3-күрделілік санатындағы операциялық-биопсиялық материалының 1 блок-препаратын гистологиялық зерттеу;</w:t>
            </w:r>
          </w:p>
          <w:p>
            <w:pPr>
              <w:spacing w:after="20"/>
              <w:ind w:left="20"/>
              <w:jc w:val="both"/>
            </w:pPr>
            <w:r>
              <w:rPr>
                <w:rFonts w:ascii="Times New Roman"/>
                <w:b w:val="false"/>
                <w:i w:val="false"/>
                <w:color w:val="000000"/>
                <w:sz w:val="20"/>
              </w:rPr>
              <w:t>
Консультация: Онколог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Z11.5 кодына сәйкес В және С вирустық гепатитін ерте анықтау үшін қауіп тобындағы адамдарды скринингтік зерттеу (2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8"/>
          <w:p>
            <w:pPr>
              <w:spacing w:after="20"/>
              <w:ind w:left="20"/>
              <w:jc w:val="both"/>
            </w:pPr>
            <w:r>
              <w:rPr>
                <w:rFonts w:ascii="Times New Roman"/>
                <w:b w:val="false"/>
                <w:i w:val="false"/>
                <w:color w:val="000000"/>
                <w:sz w:val="20"/>
              </w:rPr>
              <w:t>
Қабылдау: Мейіргер не фельдшер;</w:t>
            </w:r>
          </w:p>
          <w:bookmarkEnd w:id="38"/>
          <w:p>
            <w:pPr>
              <w:spacing w:after="20"/>
              <w:ind w:left="20"/>
              <w:jc w:val="both"/>
            </w:pPr>
            <w:r>
              <w:rPr>
                <w:rFonts w:ascii="Times New Roman"/>
                <w:b w:val="false"/>
                <w:i w:val="false"/>
                <w:color w:val="000000"/>
                <w:sz w:val="20"/>
              </w:rPr>
              <w:t>
Венадан қан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9"/>
          <w:p>
            <w:pPr>
              <w:spacing w:after="20"/>
              <w:ind w:left="20"/>
              <w:jc w:val="both"/>
            </w:pPr>
            <w:r>
              <w:rPr>
                <w:rFonts w:ascii="Times New Roman"/>
                <w:b w:val="false"/>
                <w:i w:val="false"/>
                <w:color w:val="000000"/>
                <w:sz w:val="20"/>
              </w:rPr>
              <w:t>
ИФА әдісімен қан сарысуындағы HbsAg анықтау;</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ИФА әдісі арқылы қан сарысуындағы С гепатиті вирусына жиынтық антиденелерді анықтау;</w:t>
            </w:r>
          </w:p>
          <w:p>
            <w:pPr>
              <w:spacing w:after="20"/>
              <w:ind w:left="20"/>
              <w:jc w:val="both"/>
            </w:pPr>
            <w:r>
              <w:rPr>
                <w:rFonts w:ascii="Times New Roman"/>
                <w:b w:val="false"/>
                <w:i w:val="false"/>
                <w:color w:val="000000"/>
                <w:sz w:val="20"/>
              </w:rPr>
              <w:t>
Сапалы ПТР әдісін қолдану арқылы биологиялық материалда С гепатиті вирусының РНҚ-сын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bookmarkStart w:name="z76" w:id="40"/>
    <w:p>
      <w:pPr>
        <w:spacing w:after="0"/>
        <w:ind w:left="0"/>
        <w:jc w:val="both"/>
      </w:pPr>
      <w:r>
        <w:rPr>
          <w:rFonts w:ascii="Times New Roman"/>
          <w:b w:val="false"/>
          <w:i w:val="false"/>
          <w:color w:val="000000"/>
          <w:sz w:val="28"/>
        </w:rPr>
        <w:t>
      Ескертпе: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Рибонуклеин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29 шілдедегі</w:t>
            </w:r>
            <w:r>
              <w:br/>
            </w:r>
            <w:r>
              <w:rPr>
                <w:rFonts w:ascii="Times New Roman"/>
                <w:b w:val="false"/>
                <w:i w:val="false"/>
                <w:color w:val="000000"/>
                <w:sz w:val="20"/>
              </w:rPr>
              <w:t>№ 71 бұйрыққа</w:t>
            </w:r>
            <w:r>
              <w:br/>
            </w:r>
            <w:r>
              <w:rPr>
                <w:rFonts w:ascii="Times New Roman"/>
                <w:b w:val="false"/>
                <w:i w:val="false"/>
                <w:color w:val="000000"/>
                <w:sz w:val="20"/>
              </w:rPr>
              <w:t>3-қосымша</w:t>
            </w:r>
            <w:r>
              <w:br/>
            </w:r>
            <w:r>
              <w:rPr>
                <w:rFonts w:ascii="Times New Roman"/>
                <w:b w:val="false"/>
                <w:i w:val="false"/>
                <w:color w:val="000000"/>
                <w:sz w:val="20"/>
              </w:rPr>
              <w:t>Скринингтік зерттеулерді</w:t>
            </w:r>
            <w:r>
              <w:br/>
            </w:r>
            <w:r>
              <w:rPr>
                <w:rFonts w:ascii="Times New Roman"/>
                <w:b w:val="false"/>
                <w:i w:val="false"/>
                <w:color w:val="000000"/>
                <w:sz w:val="20"/>
              </w:rPr>
              <w:t>жүргізудің қағидалары,</w:t>
            </w:r>
            <w:r>
              <w:br/>
            </w:r>
            <w:r>
              <w:rPr>
                <w:rFonts w:ascii="Times New Roman"/>
                <w:b w:val="false"/>
                <w:i w:val="false"/>
                <w:color w:val="000000"/>
                <w:sz w:val="20"/>
              </w:rPr>
              <w:t>көлемі мен мерзімділігіне</w:t>
            </w:r>
            <w:r>
              <w:br/>
            </w:r>
            <w:r>
              <w:rPr>
                <w:rFonts w:ascii="Times New Roman"/>
                <w:b w:val="false"/>
                <w:i w:val="false"/>
                <w:color w:val="000000"/>
                <w:sz w:val="20"/>
              </w:rPr>
              <w:t>2-қосымша</w:t>
            </w:r>
          </w:p>
        </w:tc>
      </w:tr>
    </w:tbl>
    <w:bookmarkStart w:name="z78" w:id="41"/>
    <w:p>
      <w:pPr>
        <w:spacing w:after="0"/>
        <w:ind w:left="0"/>
        <w:jc w:val="left"/>
      </w:pPr>
      <w:r>
        <w:rPr>
          <w:rFonts w:ascii="Times New Roman"/>
          <w:b/>
          <w:i w:val="false"/>
          <w:color w:val="000000"/>
        </w:rPr>
        <w:t xml:space="preserve"> Скринингтік зерттеулерге жататын адамдардың нысаналы топтарының скринингтік зерттеулерінің мерзімділігі мен оны аяқтау мерзімдері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артериялық гипертензия, жүректің ишемиялық ауруы, қант диабеті, глаукома және мінез-құлық қауіп факторларымен динамикалық байқауда тұрмаған, 40, 42, 44, 46, 48, 50, 52, 54, 56, 58, 60, 62, 64, 66, 68, 70, 72, 74, 76 жастағы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сүт безінің қатерлі ісіктерімен динамикалық байқауда тұрмаған 40, 42, 44, 46, 48, 50, 52, 54, 56, 58, 60, 62, 64, 66, 68, 70, 72, 74, 76 жастағы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жатыр мойнының қатерлі ісіктерімен динамикалық байқауда тұрмаған 30, 34, 38, 42, 46, 50, 54, 58, 62, 66, 70, 74 жастағы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Цереброваскулярлық аурулар бойынша байқауда тұрмаған 50, 52, 54, 56, 58, 60, 62, 64, 66, 68, 70, 72, 74, 76 жастағы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тоқ ішектің қатерсіз және қатерлі ісіктерімен динамикалық байқауда тұрмаған 50, 52, 54, 56, 58, 60, 62, 64, 66, 68, 70, 72, 74, 76 жастағы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азаматтардың декреттелген санаттары (2-кезеңдік)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