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1a29" w14:textId="0171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"Атмосфералық ауаға жол берілетін антропогендік әсер етудің нормативтерін айқындау қағидаларын бекіту туралы" 2021 жылғы 14 қыркүйектегі № 375 Қазақстан Республикасы Экология, геология және табиғи ресурстар министрінің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18 шiлдедегi № 198 бұйрығы. Қазақстан Республикасының Әділет министрлігінде 2025 жылғы 18 шiлдеде № 36471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"Атмосфералық ауаға жол берілетін антропогендік әсер етудің нормативтерін айқындау қағидаларын бекіту туралы" 2021 жылғы 14 қыркүйектегі № 375 Қазақстан Республикасы Экология, геология және табиғи ресурстар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24462 болып тіркелген) мынадай өзгеріc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Атмосфералық ауаға жол берілетін антропогендік әсер етудің нормативтерін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 </w:t>
      </w:r>
    </w:p>
    <w:p>
      <w:pPr>
        <w:spacing w:after="0"/>
        <w:ind w:left="0"/>
        <w:jc w:val="both"/>
      </w:pPr>
      <w:r>
        <w:rPr>
          <w:rFonts w:ascii="Times New Roman"/>
          <w:b w:val="false"/>
          <w:i w:val="false"/>
          <w:color w:val="000000"/>
          <w:sz w:val="28"/>
        </w:rPr>
        <w:t>
      Өнеркәсіп және құрылыс министірлігі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 </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2025 жылғы 18 шілдедегі</w:t>
            </w:r>
            <w:r>
              <w:br/>
            </w:r>
            <w:r>
              <w:rPr>
                <w:rFonts w:ascii="Times New Roman"/>
                <w:b w:val="false"/>
                <w:i w:val="false"/>
                <w:color w:val="000000"/>
                <w:sz w:val="20"/>
              </w:rPr>
              <w:t>№ 198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 xml:space="preserve">2021 жылғы 14 қыркүйектегі </w:t>
            </w:r>
            <w:r>
              <w:br/>
            </w:r>
            <w:r>
              <w:rPr>
                <w:rFonts w:ascii="Times New Roman"/>
                <w:b w:val="false"/>
                <w:i w:val="false"/>
                <w:color w:val="000000"/>
                <w:sz w:val="20"/>
              </w:rPr>
              <w:t>№ 375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Атмосфералық ауаға жол берілетін антропогендік әсер етудің нормативтерін айқындау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Атмосфералық ауаға жол берілетін антропогендік әсер етудің нормативтерін айқындау қағидалары (бұдан әрі – Қағидалар) Қазақстан Республикасы Экология кодексінің (бұдан әрі – Кодекс) 201-бабының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атмосфералық ауаға антропогендік әсер ету нормативтерін айқындау тәртібін белгілейді.</w:t>
      </w:r>
    </w:p>
    <w:bookmarkEnd w:id="11"/>
    <w:bookmarkStart w:name="z15" w:id="12"/>
    <w:p>
      <w:pPr>
        <w:spacing w:after="0"/>
        <w:ind w:left="0"/>
        <w:jc w:val="both"/>
      </w:pPr>
      <w:r>
        <w:rPr>
          <w:rFonts w:ascii="Times New Roman"/>
          <w:b w:val="false"/>
          <w:i w:val="false"/>
          <w:color w:val="000000"/>
          <w:sz w:val="28"/>
        </w:rPr>
        <w:t>
      2. Қағидаларда пайдаланылатын негізгі ұғымдар мен анықтамалар:</w:t>
      </w:r>
    </w:p>
    <w:bookmarkEnd w:id="12"/>
    <w:bookmarkStart w:name="z16" w:id="13"/>
    <w:p>
      <w:pPr>
        <w:spacing w:after="0"/>
        <w:ind w:left="0"/>
        <w:jc w:val="both"/>
      </w:pPr>
      <w:r>
        <w:rPr>
          <w:rFonts w:ascii="Times New Roman"/>
          <w:b w:val="false"/>
          <w:i w:val="false"/>
          <w:color w:val="000000"/>
          <w:sz w:val="28"/>
        </w:rPr>
        <w:t>
      1) ең үздік қолжетімді техникалар жөніндегі қорытынды – қоршаған ортаны қорғау саласындағы уәкілетті органның ең үздік қолжетімді техникалар бойынша анықтамалықтардың негізінде бекітілген рұқсат құжаты, олар мынадай ережелерді қамтиды: ең үздік қолжетімді техникалар жөніндегі тұжырымдар; ең үздік қолжетімді техникалардың сипаттамасы; ең үздік қолжетімді техникалардың қолданылуын бағалауға қажетті ақпарат; ең үздік қолжетімді техникаларды қолдануға байланысты эмиссиялардың деңгейлері; ең үздік қолжетімді техникаларды қолдануға байланысты өзге де технологиялық көрсеткіштер, оның ішінде энергетика, су ресурстары мен өзге де ресурстарды тұтыну деңгейлері; ең үздік қолжетімді техникаларды қолдануға байланысты мониторинг жөніндегі талаптар; ұсыныстар бойынша талаптар;</w:t>
      </w:r>
    </w:p>
    <w:bookmarkEnd w:id="13"/>
    <w:bookmarkStart w:name="z17" w:id="14"/>
    <w:p>
      <w:pPr>
        <w:spacing w:after="0"/>
        <w:ind w:left="0"/>
        <w:jc w:val="both"/>
      </w:pPr>
      <w:r>
        <w:rPr>
          <w:rFonts w:ascii="Times New Roman"/>
          <w:b w:val="false"/>
          <w:i w:val="false"/>
          <w:color w:val="000000"/>
          <w:sz w:val="28"/>
        </w:rPr>
        <w:t xml:space="preserve">
      2) ең үздік қолжетімді техникалар (бұдан әрі – ЕҮҚТ) – қызмет түрлері мен оларды жүзеге асыру әдістерінің неғұрлым тиімді және озық даму сатысы, бұл олардың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куәландырады; </w:t>
      </w:r>
    </w:p>
    <w:bookmarkEnd w:id="14"/>
    <w:bookmarkStart w:name="z18" w:id="15"/>
    <w:p>
      <w:pPr>
        <w:spacing w:after="0"/>
        <w:ind w:left="0"/>
        <w:jc w:val="both"/>
      </w:pPr>
      <w:r>
        <w:rPr>
          <w:rFonts w:ascii="Times New Roman"/>
          <w:b w:val="false"/>
          <w:i w:val="false"/>
          <w:color w:val="000000"/>
          <w:sz w:val="28"/>
        </w:rPr>
        <w:t>
      3) маркерлік ластағыш заттар – өндірістің немесе технологиялық процестің нақты түрінің эмиссиялары үшін неғұрлым маңызды ластағыш заттар, олар осындай өндіріске немесе технологиялық процеске тән ластағыш заттар тобынан таңдап алынады және олардың көмегімен топқа кіретін барлық ластағыш зат эмиссиясының мәнін бағалауға болады;</w:t>
      </w:r>
    </w:p>
    <w:bookmarkEnd w:id="15"/>
    <w:bookmarkStart w:name="z19" w:id="16"/>
    <w:p>
      <w:pPr>
        <w:spacing w:after="0"/>
        <w:ind w:left="0"/>
        <w:jc w:val="both"/>
      </w:pPr>
      <w:r>
        <w:rPr>
          <w:rFonts w:ascii="Times New Roman"/>
          <w:b w:val="false"/>
          <w:i w:val="false"/>
          <w:color w:val="000000"/>
          <w:sz w:val="28"/>
        </w:rPr>
        <w:t>
      4) технологиялық нормалау объектісі – шаруашылық қызмет іске асырылатын немесе іске асыру жоспарланатын, ЕҮҚТ бойынша анықтамалықтарда оларға қатысты ұқсас технологиялық процестер сипатталған антропогендік әсер ететін объект, сондай-ақ оның бір бөлігі;</w:t>
      </w:r>
    </w:p>
    <w:bookmarkEnd w:id="16"/>
    <w:bookmarkStart w:name="z20" w:id="17"/>
    <w:p>
      <w:pPr>
        <w:spacing w:after="0"/>
        <w:ind w:left="0"/>
        <w:jc w:val="both"/>
      </w:pPr>
      <w:r>
        <w:rPr>
          <w:rFonts w:ascii="Times New Roman"/>
          <w:b w:val="false"/>
          <w:i w:val="false"/>
          <w:color w:val="000000"/>
          <w:sz w:val="28"/>
        </w:rPr>
        <w:t xml:space="preserve">
      5) техника – объектіні жобалауға, салуға, қызмет көрсетуге, пайдалануға, басқаруға және пайдаланудан шығаруға қолданылатын технологиялар, тәсілдер, әдістер, процестер, практикалар, ұстанымдар мен шешімдер; </w:t>
      </w:r>
    </w:p>
    <w:bookmarkEnd w:id="17"/>
    <w:bookmarkStart w:name="z21" w:id="18"/>
    <w:p>
      <w:pPr>
        <w:spacing w:after="0"/>
        <w:ind w:left="0"/>
        <w:jc w:val="both"/>
      </w:pPr>
      <w:r>
        <w:rPr>
          <w:rFonts w:ascii="Times New Roman"/>
          <w:b w:val="false"/>
          <w:i w:val="false"/>
          <w:color w:val="000000"/>
          <w:sz w:val="28"/>
        </w:rPr>
        <w:t>
      6) технологиялық норматив – кешенді экологиялық рұқсатта эмиссиялар көлемінің бірлігіндегі маркерлік ластағыш заттардың шекті саны (массасы); уақыт бірлігіне немесе өндірілетін өнімнің (тауардың), орындалатын жұмыстың, көрсетілетін қызметтің бірлігіне есептелетін электр және (немесе) жылу энергиясының, өзге ресурстардың тұтынылу мөлшері түрінде белгіленетін экологиялық нормативтер;</w:t>
      </w:r>
    </w:p>
    <w:bookmarkEnd w:id="18"/>
    <w:bookmarkStart w:name="z22" w:id="19"/>
    <w:p>
      <w:pPr>
        <w:spacing w:after="0"/>
        <w:ind w:left="0"/>
        <w:jc w:val="both"/>
      </w:pPr>
      <w:r>
        <w:rPr>
          <w:rFonts w:ascii="Times New Roman"/>
          <w:b w:val="false"/>
          <w:i w:val="false"/>
          <w:color w:val="000000"/>
          <w:sz w:val="28"/>
        </w:rPr>
        <w:t>
      7) табиғи ортаға жол берілетін физикалық әсер ету нормативі – әрбір көз үшін жылудың, шудың, дірілдің, иондаушы сәулеленудің, электрмагнит өрісі кернеуінің және өзге де физикалық әсер етудің табиғи орта құрамдастарына жол берілетін әсер ету деңгейлері түрінде белгіленетін экологиялық норматив, онда барлық басқа көзбен жиынтығында осындай көзден жағымсыз физикалық әсер ету табиғи ортаға шекті жол берілетін физикалық әсер етудің белгіленген деңгейлерінің артуына алып келмейді;</w:t>
      </w:r>
    </w:p>
    <w:bookmarkEnd w:id="19"/>
    <w:bookmarkStart w:name="z23" w:id="20"/>
    <w:p>
      <w:pPr>
        <w:spacing w:after="0"/>
        <w:ind w:left="0"/>
        <w:jc w:val="both"/>
      </w:pPr>
      <w:r>
        <w:rPr>
          <w:rFonts w:ascii="Times New Roman"/>
          <w:b w:val="false"/>
          <w:i w:val="false"/>
          <w:color w:val="000000"/>
          <w:sz w:val="28"/>
        </w:rPr>
        <w:t>
      8) физикалық әсер етудің шекті жол берілетін деңгейі (бұдан әрі – ШЖБД) – халыққа тәулік бойы әсер ету үшін белгіленген, бұл ретте жануарлардың, өсімдіктердің, экологиялық жүйелер мен биоәртүрлілікке зиянды әсер етілмейтін физикалық әсер етудің жекелеген түрлерінің (шудың, дірілдің, электрлік, электрмагниттік және магниттік өрістердің, радиацияның, жылудың) ең жоғары деңгейі.</w:t>
      </w:r>
    </w:p>
    <w:bookmarkEnd w:id="20"/>
    <w:bookmarkStart w:name="z24" w:id="21"/>
    <w:p>
      <w:pPr>
        <w:spacing w:after="0"/>
        <w:ind w:left="0"/>
        <w:jc w:val="left"/>
      </w:pPr>
      <w:r>
        <w:rPr>
          <w:rFonts w:ascii="Times New Roman"/>
          <w:b/>
          <w:i w:val="false"/>
          <w:color w:val="000000"/>
        </w:rPr>
        <w:t xml:space="preserve"> 2-тарау. Атмосфералық ауаға жол берілетін антропогендік әсер ету нормативтерін анықтау тәртібі</w:t>
      </w:r>
    </w:p>
    <w:bookmarkEnd w:id="21"/>
    <w:bookmarkStart w:name="z25" w:id="22"/>
    <w:p>
      <w:pPr>
        <w:spacing w:after="0"/>
        <w:ind w:left="0"/>
        <w:jc w:val="both"/>
      </w:pPr>
      <w:r>
        <w:rPr>
          <w:rFonts w:ascii="Times New Roman"/>
          <w:b w:val="false"/>
          <w:i w:val="false"/>
          <w:color w:val="000000"/>
          <w:sz w:val="28"/>
        </w:rPr>
        <w:t xml:space="preserve">
      3. Кодекстің 201-бабының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атмосфералық ауаға жол берілетін антропогендік әсер етудің мынадай нормативтері белгіленеді:</w:t>
      </w:r>
    </w:p>
    <w:bookmarkEnd w:id="22"/>
    <w:p>
      <w:pPr>
        <w:spacing w:after="0"/>
        <w:ind w:left="0"/>
        <w:jc w:val="both"/>
      </w:pPr>
      <w:r>
        <w:rPr>
          <w:rFonts w:ascii="Times New Roman"/>
          <w:b w:val="false"/>
          <w:i w:val="false"/>
          <w:color w:val="000000"/>
          <w:sz w:val="28"/>
        </w:rPr>
        <w:t>
      жол берілетін шығарындылар нормативтері;</w:t>
      </w:r>
    </w:p>
    <w:p>
      <w:pPr>
        <w:spacing w:after="0"/>
        <w:ind w:left="0"/>
        <w:jc w:val="both"/>
      </w:pPr>
      <w:r>
        <w:rPr>
          <w:rFonts w:ascii="Times New Roman"/>
          <w:b w:val="false"/>
          <w:i w:val="false"/>
          <w:color w:val="000000"/>
          <w:sz w:val="28"/>
        </w:rPr>
        <w:t>
      шығарындылардың технологиялық нормативтері;</w:t>
      </w:r>
    </w:p>
    <w:p>
      <w:pPr>
        <w:spacing w:after="0"/>
        <w:ind w:left="0"/>
        <w:jc w:val="both"/>
      </w:pPr>
      <w:r>
        <w:rPr>
          <w:rFonts w:ascii="Times New Roman"/>
          <w:b w:val="false"/>
          <w:i w:val="false"/>
          <w:color w:val="000000"/>
          <w:sz w:val="28"/>
        </w:rPr>
        <w:t>
      атмосфералық ауаға жол берілетін физикалық әсер ету нормативтері.</w:t>
      </w:r>
    </w:p>
    <w:bookmarkStart w:name="z26" w:id="23"/>
    <w:p>
      <w:pPr>
        <w:spacing w:after="0"/>
        <w:ind w:left="0"/>
        <w:jc w:val="left"/>
      </w:pPr>
      <w:r>
        <w:rPr>
          <w:rFonts w:ascii="Times New Roman"/>
          <w:b/>
          <w:i w:val="false"/>
          <w:color w:val="000000"/>
        </w:rPr>
        <w:t xml:space="preserve"> 1-параграф. Жол берілетін шығарындылар нормативтері</w:t>
      </w:r>
    </w:p>
    <w:bookmarkEnd w:id="23"/>
    <w:bookmarkStart w:name="z27" w:id="24"/>
    <w:p>
      <w:pPr>
        <w:spacing w:after="0"/>
        <w:ind w:left="0"/>
        <w:jc w:val="both"/>
      </w:pPr>
      <w:r>
        <w:rPr>
          <w:rFonts w:ascii="Times New Roman"/>
          <w:b w:val="false"/>
          <w:i w:val="false"/>
          <w:color w:val="000000"/>
          <w:sz w:val="28"/>
        </w:rPr>
        <w:t xml:space="preserve">
      4. Жол берілетін шығарындылардың нормативтері Кодекстің талаптарына және Қазақстан Республикасы Экология, геология және табиғи ресурстар министрінің 2021 жылғы 10 наурыздағы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Қоршаған ортаға эмиссиялардың нормативтерін айқындау әдістемесіне (Нормативтік құқықтық актілерді мемлекеттік тіркеу тізілімінде №22317 тіркелген) сәйкес айқындалады.</w:t>
      </w:r>
    </w:p>
    <w:bookmarkEnd w:id="24"/>
    <w:bookmarkStart w:name="z28" w:id="25"/>
    <w:p>
      <w:pPr>
        <w:spacing w:after="0"/>
        <w:ind w:left="0"/>
        <w:jc w:val="left"/>
      </w:pPr>
      <w:r>
        <w:rPr>
          <w:rFonts w:ascii="Times New Roman"/>
          <w:b/>
          <w:i w:val="false"/>
          <w:color w:val="000000"/>
        </w:rPr>
        <w:t xml:space="preserve"> 2-параграф. Шығарындылардың технологиялық нормативтері</w:t>
      </w:r>
    </w:p>
    <w:bookmarkEnd w:id="25"/>
    <w:bookmarkStart w:name="z29" w:id="26"/>
    <w:p>
      <w:pPr>
        <w:spacing w:after="0"/>
        <w:ind w:left="0"/>
        <w:jc w:val="both"/>
      </w:pPr>
      <w:r>
        <w:rPr>
          <w:rFonts w:ascii="Times New Roman"/>
          <w:b w:val="false"/>
          <w:i w:val="false"/>
          <w:color w:val="000000"/>
          <w:sz w:val="28"/>
        </w:rPr>
        <w:t>
      5. Шығарындылардың технологиялық нормативтері кешенді экологиялық рұқсатта белгіленеді және ЕҮҚТ жөніндегі қорытындыларда белгіленген оларды нақты қолдану салалары бойынша ЕҮҚТ қолдануға байланысты тиісті технологиялық көрсеткіштерден (олар бар болса) аспауға тиіс.</w:t>
      </w:r>
    </w:p>
    <w:bookmarkEnd w:id="26"/>
    <w:bookmarkStart w:name="z30" w:id="27"/>
    <w:p>
      <w:pPr>
        <w:spacing w:after="0"/>
        <w:ind w:left="0"/>
        <w:jc w:val="both"/>
      </w:pPr>
      <w:r>
        <w:rPr>
          <w:rFonts w:ascii="Times New Roman"/>
          <w:b w:val="false"/>
          <w:i w:val="false"/>
          <w:color w:val="000000"/>
          <w:sz w:val="28"/>
        </w:rPr>
        <w:t>
      Шығарындылардың технологиялық нормативтері I немесе II санаттағы объектінің құрамына кіретін стационарлық көздерді пайдаланудың қалыпты жұмыс істеу жағдайлары үшін даму перспективасын, яғни жабдықтың жүктелуін және оны пайдалану режимдерін, оның ішінде технологиялық регламентте көзделген желдету жүйелері мен құрылғыларын және шаң-газ тазарту жабдықтарын ескере отырып белгіленеді.</w:t>
      </w:r>
    </w:p>
    <w:bookmarkEnd w:id="27"/>
    <w:bookmarkStart w:name="z31" w:id="28"/>
    <w:p>
      <w:pPr>
        <w:spacing w:after="0"/>
        <w:ind w:left="0"/>
        <w:jc w:val="both"/>
      </w:pPr>
      <w:r>
        <w:rPr>
          <w:rFonts w:ascii="Times New Roman"/>
          <w:b w:val="false"/>
          <w:i w:val="false"/>
          <w:color w:val="000000"/>
          <w:sz w:val="28"/>
        </w:rPr>
        <w:t xml:space="preserve">
      Бұл ретте шығарындылардың технологиялық нормативтері мыналар үшін белгіленбейді: </w:t>
      </w:r>
    </w:p>
    <w:bookmarkEnd w:id="28"/>
    <w:bookmarkStart w:name="z32" w:id="29"/>
    <w:p>
      <w:pPr>
        <w:spacing w:after="0"/>
        <w:ind w:left="0"/>
        <w:jc w:val="both"/>
      </w:pPr>
      <w:r>
        <w:rPr>
          <w:rFonts w:ascii="Times New Roman"/>
          <w:b w:val="false"/>
          <w:i w:val="false"/>
          <w:color w:val="000000"/>
          <w:sz w:val="28"/>
        </w:rPr>
        <w:t xml:space="preserve">
      мұнай/газ/мұнай-газ, газ конденсатты кен орындарын, қатты пайдалы қазбаларды барлау жөніндегі өндірістік операциялар (кәсіпшілік-геофизикалық зерттеулер, іздестіру-бағалау жұмыстары, барлау және геологиялық барлау жұмыстары, геологиялық және сейсмикалық зерттеулер); </w:t>
      </w:r>
    </w:p>
    <w:bookmarkEnd w:id="29"/>
    <w:bookmarkStart w:name="z33" w:id="30"/>
    <w:p>
      <w:pPr>
        <w:spacing w:after="0"/>
        <w:ind w:left="0"/>
        <w:jc w:val="both"/>
      </w:pPr>
      <w:r>
        <w:rPr>
          <w:rFonts w:ascii="Times New Roman"/>
          <w:b w:val="false"/>
          <w:i w:val="false"/>
          <w:color w:val="000000"/>
          <w:sz w:val="28"/>
        </w:rPr>
        <w:t xml:space="preserve">
      ұңғымаларды бұрғылау кезеңіндегі машиналар мен технологиялық жабдықтар, оның ішінде қатты пайдалы қазбаларды геологиялық барлау, тоқтату және іске қосу кезінде мұнай мен газды өндіру және қайта өңдеу, жөндеу және іске қосу-баптау жұмыстары, техникалық қызмет көрсету, технологиялық жабдықтардың жұмысындағы технологиялық еріксіз іркілістер, істен шығулар мен ауытқулар, оның ішінде алаудағы газды еріксіз іркілістер, істен шығулар мен ауытқулар. </w:t>
      </w:r>
    </w:p>
    <w:bookmarkEnd w:id="30"/>
    <w:bookmarkStart w:name="z34" w:id="31"/>
    <w:p>
      <w:pPr>
        <w:spacing w:after="0"/>
        <w:ind w:left="0"/>
        <w:jc w:val="both"/>
      </w:pPr>
      <w:r>
        <w:rPr>
          <w:rFonts w:ascii="Times New Roman"/>
          <w:b w:val="false"/>
          <w:i w:val="false"/>
          <w:color w:val="000000"/>
          <w:sz w:val="28"/>
        </w:rPr>
        <w:t xml:space="preserve">
      6. Шығарындылардың технологиялық нормативтерінің негіздемесі объектінің операторы қоршаған ортаны қорғау саласындағы уәкілетті органға Кодекстің </w:t>
      </w:r>
      <w:r>
        <w:rPr>
          <w:rFonts w:ascii="Times New Roman"/>
          <w:b w:val="false"/>
          <w:i w:val="false"/>
          <w:color w:val="000000"/>
          <w:sz w:val="28"/>
        </w:rPr>
        <w:t>111-бабына</w:t>
      </w:r>
      <w:r>
        <w:rPr>
          <w:rFonts w:ascii="Times New Roman"/>
          <w:b w:val="false"/>
          <w:i w:val="false"/>
          <w:color w:val="000000"/>
          <w:sz w:val="28"/>
        </w:rPr>
        <w:t xml:space="preserve"> сәйкес кешенді экологиялық рұқсат алуға арналған өтінішпен бірге технологиялық нормативтер жобасында қамтамасыз етіледі.</w:t>
      </w:r>
    </w:p>
    <w:bookmarkEnd w:id="31"/>
    <w:bookmarkStart w:name="z35" w:id="32"/>
    <w:p>
      <w:pPr>
        <w:spacing w:after="0"/>
        <w:ind w:left="0"/>
        <w:jc w:val="both"/>
      </w:pPr>
      <w:r>
        <w:rPr>
          <w:rFonts w:ascii="Times New Roman"/>
          <w:b w:val="false"/>
          <w:i w:val="false"/>
          <w:color w:val="000000"/>
          <w:sz w:val="28"/>
        </w:rPr>
        <w:t>
      7. Технологиялық нормативтердің жобасын кешенді экологиялық рұқсат алуға өтінімді немесе кешенді экологиялық рұқсатты қайта қарауға өтінімді дайындау барысында шаруашылық және (немесе) өзге де қызметті жүзеге асыруды жүзеге асыратын немесе жоспарлайтын заңды тұлға, дара кәсіпкер әзірлейді.</w:t>
      </w:r>
    </w:p>
    <w:bookmarkEnd w:id="32"/>
    <w:bookmarkStart w:name="z36" w:id="33"/>
    <w:p>
      <w:pPr>
        <w:spacing w:after="0"/>
        <w:ind w:left="0"/>
        <w:jc w:val="both"/>
      </w:pPr>
      <w:r>
        <w:rPr>
          <w:rFonts w:ascii="Times New Roman"/>
          <w:b w:val="false"/>
          <w:i w:val="false"/>
          <w:color w:val="000000"/>
          <w:sz w:val="28"/>
        </w:rPr>
        <w:t>
      8. Технологиялық нормативтер жобасы мыналарды:</w:t>
      </w:r>
    </w:p>
    <w:bookmarkEnd w:id="33"/>
    <w:bookmarkStart w:name="z37" w:id="34"/>
    <w:p>
      <w:pPr>
        <w:spacing w:after="0"/>
        <w:ind w:left="0"/>
        <w:jc w:val="both"/>
      </w:pPr>
      <w:r>
        <w:rPr>
          <w:rFonts w:ascii="Times New Roman"/>
          <w:b w:val="false"/>
          <w:i w:val="false"/>
          <w:color w:val="000000"/>
          <w:sz w:val="28"/>
        </w:rPr>
        <w:t>
      1) ЕҮҚТ таңдауға әсер етуі мүмкін шығарылатын өнімнің түрі, пайдаланылатын шикізат, ЕҮҚТ сәйкестікті бағалау және технологиялық процеске байланысты басқа да мәліметтер бойынша ақпарат ұсынылатын өндірістік процестің қысқаша сипаттамасын;</w:t>
      </w:r>
    </w:p>
    <w:bookmarkEnd w:id="34"/>
    <w:bookmarkStart w:name="z38" w:id="35"/>
    <w:p>
      <w:pPr>
        <w:spacing w:after="0"/>
        <w:ind w:left="0"/>
        <w:jc w:val="both"/>
      </w:pPr>
      <w:r>
        <w:rPr>
          <w:rFonts w:ascii="Times New Roman"/>
          <w:b w:val="false"/>
          <w:i w:val="false"/>
          <w:color w:val="000000"/>
          <w:sz w:val="28"/>
        </w:rPr>
        <w:t>
      2) ағымдағы сәттегі технологиялық процестердің және/немесе технологиялық нормалау объектілерінің тізбесін және ЕҮҚТ арналған анықтамалар негізіндегі қорытындысына сәйкес технологиялық нормалау объектілерінде түзілетін маркерлік ластағыш заттарды және олардың мониторингін;</w:t>
      </w:r>
    </w:p>
    <w:bookmarkEnd w:id="35"/>
    <w:bookmarkStart w:name="z39" w:id="36"/>
    <w:p>
      <w:pPr>
        <w:spacing w:after="0"/>
        <w:ind w:left="0"/>
        <w:jc w:val="both"/>
      </w:pPr>
      <w:r>
        <w:rPr>
          <w:rFonts w:ascii="Times New Roman"/>
          <w:b w:val="false"/>
          <w:i w:val="false"/>
          <w:color w:val="000000"/>
          <w:sz w:val="28"/>
        </w:rPr>
        <w:t>
      3) осы Қағидаларға қосымшаға сәйкес технологиялық нормативтердің негіздемесін, технологиялық нормативтердің анықтамасын қамтуға тиіс.</w:t>
      </w:r>
    </w:p>
    <w:bookmarkEnd w:id="36"/>
    <w:bookmarkStart w:name="z40" w:id="37"/>
    <w:p>
      <w:pPr>
        <w:spacing w:after="0"/>
        <w:ind w:left="0"/>
        <w:jc w:val="both"/>
      </w:pPr>
      <w:r>
        <w:rPr>
          <w:rFonts w:ascii="Times New Roman"/>
          <w:b w:val="false"/>
          <w:i w:val="false"/>
          <w:color w:val="000000"/>
          <w:sz w:val="28"/>
        </w:rPr>
        <w:t>
      9. ЕҮҚТ қолдану жөніндегі техникалық шешімдер объектіні салуға, реконструкциялауға және пайдалануға арналған жобалау құжаттамасын әзірлеу кезеңінде айқындалады.</w:t>
      </w:r>
    </w:p>
    <w:bookmarkEnd w:id="37"/>
    <w:bookmarkStart w:name="z41" w:id="38"/>
    <w:p>
      <w:pPr>
        <w:spacing w:after="0"/>
        <w:ind w:left="0"/>
        <w:jc w:val="both"/>
      </w:pPr>
      <w:r>
        <w:rPr>
          <w:rFonts w:ascii="Times New Roman"/>
          <w:b w:val="false"/>
          <w:i w:val="false"/>
          <w:color w:val="000000"/>
          <w:sz w:val="28"/>
        </w:rPr>
        <w:t>
      10. Технологиялық нормативтерді қайта қарау ең үздік қолжетімді техника бойынша жаңа қорытындылар бекітілген кезде технологиялық нормативтер өзгерген жағдайда жүргізіледі.</w:t>
      </w:r>
    </w:p>
    <w:bookmarkEnd w:id="38"/>
    <w:bookmarkStart w:name="z42" w:id="39"/>
    <w:p>
      <w:pPr>
        <w:spacing w:after="0"/>
        <w:ind w:left="0"/>
        <w:jc w:val="both"/>
      </w:pPr>
      <w:r>
        <w:rPr>
          <w:rFonts w:ascii="Times New Roman"/>
          <w:b w:val="false"/>
          <w:i w:val="false"/>
          <w:color w:val="000000"/>
          <w:sz w:val="28"/>
        </w:rPr>
        <w:t>
      Анықтамалықты қайта қарау және ЕҮҚТ бойынша қорытынды нәтижесінде технологиялық нормативтер қатаңдатылған жағдайда, 10 жыл ішінде қол жеткізілетін технологиялық нормативтердің мерзімі кәсіпорындардың экологиялық тиімділігін арттыру бағдарламасы шеңберінде сақталады.</w:t>
      </w:r>
    </w:p>
    <w:bookmarkEnd w:id="39"/>
    <w:bookmarkStart w:name="z43" w:id="40"/>
    <w:p>
      <w:pPr>
        <w:spacing w:after="0"/>
        <w:ind w:left="0"/>
        <w:jc w:val="left"/>
      </w:pPr>
      <w:r>
        <w:rPr>
          <w:rFonts w:ascii="Times New Roman"/>
          <w:b/>
          <w:i w:val="false"/>
          <w:color w:val="000000"/>
        </w:rPr>
        <w:t xml:space="preserve"> 3-параграф. Атмосфералық ауаға жол берілетін физикалық әсер ету нормативтері</w:t>
      </w:r>
    </w:p>
    <w:bookmarkEnd w:id="40"/>
    <w:bookmarkStart w:name="z44" w:id="41"/>
    <w:p>
      <w:pPr>
        <w:spacing w:after="0"/>
        <w:ind w:left="0"/>
        <w:jc w:val="both"/>
      </w:pPr>
      <w:r>
        <w:rPr>
          <w:rFonts w:ascii="Times New Roman"/>
          <w:b w:val="false"/>
          <w:i w:val="false"/>
          <w:color w:val="000000"/>
          <w:sz w:val="28"/>
        </w:rPr>
        <w:t>
      11. Табиғи ортаға жол берілетін физикалық әсер ету нормативі деп әрбір көз үшін жылудың, шудың, дірілдің, иондаушы сәулеленудің, электрмагнит өрісі кернеуінің және өзге де физикалық әсер етудің табиғи орта құрамдастарына жол берілетін әсер ету деңгейлері түрінде белгіленетін экологиялық норматив түсініледі, онда барлық басқа көзбен жиынтығында осындай көзден жағымсыз физикалық әсер ету табиғи ортаға шекті жол берілетін физикалық әсер етудің белгіленген деңгейлерінің артуына алып келмейді.</w:t>
      </w:r>
    </w:p>
    <w:bookmarkEnd w:id="41"/>
    <w:bookmarkStart w:name="z45" w:id="42"/>
    <w:p>
      <w:pPr>
        <w:spacing w:after="0"/>
        <w:ind w:left="0"/>
        <w:jc w:val="both"/>
      </w:pPr>
      <w:r>
        <w:rPr>
          <w:rFonts w:ascii="Times New Roman"/>
          <w:b w:val="false"/>
          <w:i w:val="false"/>
          <w:color w:val="000000"/>
          <w:sz w:val="28"/>
        </w:rPr>
        <w:t xml:space="preserve">
      12. Физикалық әсер ету деңгейлері нақты аумақ немесе акватория үшін тән табиғи факторлардың әсерімен қалыптасқан табиғи жағдайларды, сондай-ақ аумақтарды немесе акваторияларды пайдалану мақсатын ескере отырып белгіленеді. </w:t>
      </w:r>
    </w:p>
    <w:bookmarkEnd w:id="42"/>
    <w:bookmarkStart w:name="z46" w:id="43"/>
    <w:p>
      <w:pPr>
        <w:spacing w:after="0"/>
        <w:ind w:left="0"/>
        <w:jc w:val="both"/>
      </w:pPr>
      <w:r>
        <w:rPr>
          <w:rFonts w:ascii="Times New Roman"/>
          <w:b w:val="false"/>
          <w:i w:val="false"/>
          <w:color w:val="000000"/>
          <w:sz w:val="28"/>
        </w:rPr>
        <w:t xml:space="preserve">
      13. Жол берілетін физикалық әсер ету нормативтері I және II санаттағы нысандар үшін мыналардан аспайтын деңгейлерде: </w:t>
      </w:r>
    </w:p>
    <w:bookmarkEnd w:id="43"/>
    <w:bookmarkStart w:name="z47" w:id="44"/>
    <w:p>
      <w:pPr>
        <w:spacing w:after="0"/>
        <w:ind w:left="0"/>
        <w:jc w:val="both"/>
      </w:pPr>
      <w:r>
        <w:rPr>
          <w:rFonts w:ascii="Times New Roman"/>
          <w:b w:val="false"/>
          <w:i w:val="false"/>
          <w:color w:val="000000"/>
          <w:sz w:val="28"/>
        </w:rPr>
        <w:t xml:space="preserve">
      1) қоршаған ортаға әсерді міндетті бағалау жүргізілген жағдайда – Кодекстің 76-бабы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қоршаған ортаға әсерді бағалау нәтижелері бойынша қорытындыда көрсетілген тиісті шекті мәндерден аспайтын деңгейлерде;</w:t>
      </w:r>
    </w:p>
    <w:bookmarkEnd w:id="44"/>
    <w:bookmarkStart w:name="z48" w:id="45"/>
    <w:p>
      <w:pPr>
        <w:spacing w:after="0"/>
        <w:ind w:left="0"/>
        <w:jc w:val="both"/>
      </w:pPr>
      <w:r>
        <w:rPr>
          <w:rFonts w:ascii="Times New Roman"/>
          <w:b w:val="false"/>
          <w:i w:val="false"/>
          <w:color w:val="000000"/>
          <w:sz w:val="28"/>
        </w:rPr>
        <w:t xml:space="preserve">
      2) осы Кодекске сәйкес белгіленіп отырған қызметтің әсеріне скрининг жүргізген жағдайда, оның нәтижелері бойынша қоршаған ортаға әсерді міндетті бағалау қажет емес екені туралы қорытынды шығарылса, – осы Кодекстің 68-бабы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белгіленіп отырған қызмет туралы өтініште көрсетілген тиісті мәндерден аспайтын деңгейлерде белгіленеді.</w:t>
      </w:r>
    </w:p>
    <w:bookmarkEnd w:id="45"/>
    <w:bookmarkStart w:name="z49" w:id="46"/>
    <w:p>
      <w:pPr>
        <w:spacing w:after="0"/>
        <w:ind w:left="0"/>
        <w:jc w:val="both"/>
      </w:pPr>
      <w:r>
        <w:rPr>
          <w:rFonts w:ascii="Times New Roman"/>
          <w:b w:val="false"/>
          <w:i w:val="false"/>
          <w:color w:val="000000"/>
          <w:sz w:val="28"/>
        </w:rPr>
        <w:t>
      Қолданыстағы объектілер үшін жол берілетін физикалық әсерлердің нормативтері кешенді экологиялық рұқсатты алу туралы арызда белгіленген деңгейлерде белгіленеді.</w:t>
      </w:r>
    </w:p>
    <w:bookmarkEnd w:id="46"/>
    <w:bookmarkStart w:name="z50" w:id="47"/>
    <w:p>
      <w:pPr>
        <w:spacing w:after="0"/>
        <w:ind w:left="0"/>
        <w:jc w:val="both"/>
      </w:pPr>
      <w:r>
        <w:rPr>
          <w:rFonts w:ascii="Times New Roman"/>
          <w:b w:val="false"/>
          <w:i w:val="false"/>
          <w:color w:val="000000"/>
          <w:sz w:val="28"/>
        </w:rPr>
        <w:t>
      Кешенді экологиялық объектілер үшін жол берілетін физикалық әсер ету нормативтері ЕҮҚТ бойынша қорытындыларда (егер болса) келтірілген тиісті технологиялық көрсеткіштерден аспайтын деңгейде белгіленеді.</w:t>
      </w:r>
    </w:p>
    <w:bookmarkEnd w:id="47"/>
    <w:bookmarkStart w:name="z51" w:id="48"/>
    <w:p>
      <w:pPr>
        <w:spacing w:after="0"/>
        <w:ind w:left="0"/>
        <w:jc w:val="both"/>
      </w:pPr>
      <w:r>
        <w:rPr>
          <w:rFonts w:ascii="Times New Roman"/>
          <w:b w:val="false"/>
          <w:i w:val="false"/>
          <w:color w:val="000000"/>
          <w:sz w:val="28"/>
        </w:rPr>
        <w:t>
      14. Жол берілетін физикалық әсер ету нормативтерін оператор өзінің аккредиттелген зертханасы болған кезде не ол болмаған кезде бөгде мамандандырылған ұйымдарды (аккредиттелген зертханаларды) тарта отырып дербес айқындайды.</w:t>
      </w:r>
    </w:p>
    <w:bookmarkEnd w:id="48"/>
    <w:bookmarkStart w:name="z52" w:id="49"/>
    <w:p>
      <w:pPr>
        <w:spacing w:after="0"/>
        <w:ind w:left="0"/>
        <w:jc w:val="both"/>
      </w:pPr>
      <w:r>
        <w:rPr>
          <w:rFonts w:ascii="Times New Roman"/>
          <w:b w:val="false"/>
          <w:i w:val="false"/>
          <w:color w:val="000000"/>
          <w:sz w:val="28"/>
        </w:rPr>
        <w:t xml:space="preserve">
      15. Белгіленген қызмет үшін жол берілетін физикалық әсерлердің нормативтері, сондай-ақ қызметке айтарлықтай өзгерістер енгізген кездегі нормативтер жеке құжат түрінде – белгіленген қызметтің тиісті жобалық құжаттамасына қатысты әзірленетін жол берілетін физикалық әсер ету нормативтерінің жобасы түрінде есептеліп, негізделеді және Кодекстің </w:t>
      </w:r>
      <w:r>
        <w:rPr>
          <w:rFonts w:ascii="Times New Roman"/>
          <w:b w:val="false"/>
          <w:i w:val="false"/>
          <w:color w:val="000000"/>
          <w:sz w:val="28"/>
        </w:rPr>
        <w:t>201-бабына</w:t>
      </w:r>
      <w:r>
        <w:rPr>
          <w:rFonts w:ascii="Times New Roman"/>
          <w:b w:val="false"/>
          <w:i w:val="false"/>
          <w:color w:val="000000"/>
          <w:sz w:val="28"/>
        </w:rPr>
        <w:t xml:space="preserve"> сәйкес экологиялық рұқсатты алуға өтінішпен бірге беріледі.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нормативтерді</w:t>
            </w:r>
            <w:r>
              <w:br/>
            </w:r>
            <w:r>
              <w:rPr>
                <w:rFonts w:ascii="Times New Roman"/>
                <w:b w:val="false"/>
                <w:i w:val="false"/>
                <w:color w:val="000000"/>
                <w:sz w:val="20"/>
              </w:rPr>
              <w:t>әзірлеу қағидаларына</w:t>
            </w:r>
            <w:r>
              <w:br/>
            </w:r>
            <w:r>
              <w:rPr>
                <w:rFonts w:ascii="Times New Roman"/>
                <w:b w:val="false"/>
                <w:i w:val="false"/>
                <w:color w:val="000000"/>
                <w:sz w:val="20"/>
              </w:rPr>
              <w:t>қосымша</w:t>
            </w:r>
          </w:p>
        </w:tc>
      </w:tr>
    </w:tbl>
    <w:p>
      <w:pPr>
        <w:spacing w:after="0"/>
        <w:ind w:left="0"/>
        <w:jc w:val="both"/>
      </w:pPr>
      <w:bookmarkStart w:name="z54" w:id="50"/>
      <w:r>
        <w:rPr>
          <w:rFonts w:ascii="Times New Roman"/>
          <w:b w:val="false"/>
          <w:i w:val="false"/>
          <w:color w:val="000000"/>
          <w:sz w:val="28"/>
        </w:rPr>
        <w:t>
      Технологиялық нормалау көрсеткіштерінің негіздемесі</w:t>
      </w:r>
    </w:p>
    <w:bookmarkEnd w:id="5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(объектінің атауы, объектінің коды (олар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процестің және/немесе жабдықтың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Шығарылу</w:t>
            </w:r>
          </w:p>
          <w:p>
            <w:pPr>
              <w:spacing w:after="20"/>
              <w:ind w:left="20"/>
              <w:jc w:val="both"/>
            </w:pPr>
            <w:r>
              <w:rPr>
                <w:rFonts w:ascii="Times New Roman"/>
                <w:b w:val="false"/>
                <w:i w:val="false"/>
                <w:color w:val="000000"/>
                <w:sz w:val="20"/>
              </w:rPr>
              <w:t>
</w:t>
            </w:r>
            <w:r>
              <w:rPr>
                <w:rFonts w:ascii="Times New Roman"/>
                <w:b/>
                <w:i w:val="false"/>
                <w:color w:val="000000"/>
                <w:sz w:val="20"/>
              </w:rPr>
              <w:t>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Маркерлік заттары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шама, миллиграмм/нанометр</w:t>
            </w:r>
            <w:r>
              <w:rPr>
                <w:rFonts w:ascii="Times New Roman"/>
                <w:b/>
                <w:i w:val="false"/>
                <w:color w:val="000000"/>
                <w:sz w:val="20"/>
              </w:rPr>
              <w:t xml:space="preserve">3 </w:t>
            </w:r>
            <w:r>
              <w:rPr>
                <w:rFonts w:ascii="Times New Roman"/>
                <w:b/>
                <w:i w:val="false"/>
                <w:color w:val="000000"/>
                <w:sz w:val="20"/>
              </w:rPr>
              <w:t>(мг/дм3)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мән миллиграмм/нанометр</w:t>
            </w:r>
            <w:r>
              <w:rPr>
                <w:rFonts w:ascii="Times New Roman"/>
                <w:b/>
                <w:i w:val="false"/>
                <w:color w:val="000000"/>
                <w:sz w:val="20"/>
              </w:rPr>
              <w:t xml:space="preserve">3 </w:t>
            </w:r>
            <w:r>
              <w:rPr>
                <w:rFonts w:ascii="Times New Roman"/>
                <w:b/>
                <w:i w:val="false"/>
                <w:color w:val="000000"/>
                <w:sz w:val="20"/>
              </w:rPr>
              <w:t>(мг/дм3)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үздік қолжетімді техниканы сәйкестігі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