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1657" w14:textId="e001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63 бұйрығы. Қазақстан Республикасының Әділет министрлігінде 2025 жылғы 1 сәуірде № 35905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қызметтерді автоматтандыру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6"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93-қосымша</w:t>
            </w:r>
          </w:p>
        </w:tc>
      </w:tr>
    </w:tbl>
    <w:bookmarkStart w:name="z12" w:id="6"/>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мектептерде білім алушыларға ыстық және буфеттік тамақ ұйымдастыру жөніндегі мәліметтер</w:t>
      </w:r>
    </w:p>
    <w:bookmarkEnd w:id="6"/>
    <w:p>
      <w:pPr>
        <w:spacing w:after="0"/>
        <w:ind w:left="0"/>
        <w:jc w:val="both"/>
      </w:pPr>
      <w:r>
        <w:rPr>
          <w:rFonts w:ascii="Times New Roman"/>
          <w:b w:val="false"/>
          <w:i w:val="false"/>
          <w:color w:val="000000"/>
          <w:sz w:val="28"/>
        </w:rPr>
        <w:t>
      Индексі: № 5-ҚҚ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 ұйымдастырылған мектептер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тамақтандырумен қамтылған оқушыла рсаны,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буфеттік тамақпен қамтамасыз етілгендер,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 </w:t>
      </w:r>
    </w:p>
    <w:p>
      <w:pPr>
        <w:spacing w:after="0"/>
        <w:ind w:left="0"/>
        <w:jc w:val="both"/>
      </w:pPr>
      <w:r>
        <w:rPr>
          <w:rFonts w:ascii="Times New Roman"/>
          <w:b w:val="false"/>
          <w:i w:val="false"/>
          <w:color w:val="000000"/>
          <w:sz w:val="28"/>
        </w:rPr>
        <w:t xml:space="preserve">
      Телефон 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