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bb6" w14:textId="08a2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қаласында тұрғын үй көмегін көрсетудің мөлшері мен тәртібін айқындау туралы" мәслихаттың 2024 жылғы 9 ақпандағы № 80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27 желтоқсандағы № 141 шешімі. Қостанай облысының Әділет департаментінде 2024 жылғы 31 желтоқсанда № 10347-10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қаласында тұрғын үй көмегін көрсетудің мөлшері мен тәртібін айқындау туралы" мәслихаттың 2024 жылғы 9 ақпандағы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құқытық актілерді мемлекеттік тіркеу тізілімінде № 10142-10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– Мемлекеттік корпорация) немесе "электрондық үкімет" веб-порталына тоқсанына бір рет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"Тұрғый үй көмегін тағайындау" мемлекеттік қызметті көрсетуге қойылатын негізі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өкілеттіктерін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