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14f2" w14:textId="7e31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2 қарашадағы № 458-НҚ бұйрығы. Қазақстан Республикасының Әділет министрлігінде 2023 жылғы 24 қарашада № 3367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Күші жойылды деп тан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ведомстволық және жеке архивтердің қабылдау, сақтау, есепке алу мен пайдалану кезінде ресімделетін (жасалатын) құжаттар нысандарын бекіту туралы" Қазақстан Республикасы Мәдениет және спорт министрінің 2018 жылғы 4 желтоқсандағы № 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лімінде № 178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 бекіту туралы" Қазақстан Республикасы Мәдениет және спорт министрінің 2019 жылғы 12 наурыз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лімінде № 18392 болып тіркелген).</w:t>
      </w:r>
    </w:p>
    <w:bookmarkStart w:name="z5" w:id="1"/>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а орналастыр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