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d35" w14:textId="0733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аудиторларына кандидаттарды аттестаттауды жүргізу қағидаларын бекіту туралы" Қазақстан Республикасы Инвестициялар және даму министрінің 2015 жылғы 30 қарашадағы № 1123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8 тамыздағы № 566 бұйрығы. Қазақстан Республикасының Әділет министрлігінде 2023 жылғы 10 тамызда № 33263 болып тіркелді. Күші жойылды - Қазақстан Республикасы Өнеркәсіп және құрылыс министрінің м.а. 2023 жылғы 15 қыркүйектегі № 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м.а.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(10.06.2024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"Энергия аудиторларына кандидаттарды аттестаттауды жүргізу қағидаларын бекіту туралы" Қазақстан Республикасы Инвестициялар және даму министрінің 2015 жылғы 30 қарашадағы № 1123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12587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Энергия аудиторларына кандидаттарды аттестаттауды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үшін қажетті құжаттар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осы Тізбеге қосымшаға сәйкес нысан бойынша өтініш (сұрау салу);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жоғары инженерлік-техникалық білім туралы дипломның электрондық көшірмесі не цифрлық құжаттар сервисінен электрондық құжат;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"Энергия үнемдеу және энергия тиімділігін арттыру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өз қызметін жүзеге асыратын оқу орталығы берген энергия аудиті бағыты бойынша энергия үнемдеу және энергия тиiмдiлiгiн арттыру саласындағы курстардан өткені туралы куәліктің электрондық көшірмесі;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кандидаттың еңбек қызметін және кемінде 5 (бес) жыл жалпы техникалық өтілінің болуын растайтын құжаттың электрондық көшірмесі, оның ішінде энергия аудиторлық ұйымда энергия аудиторы кемінде 1 (бір)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Қазақстан Республикасы Энергетика министрінің 2015 жылғы 26 наурыздағы №234 бұйрығымен бекітілген Қазақстан Республикасының энергетикалық ұйымдарында персоналмен жұмыс істеу қағидаларына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III және одан жоғары рұқсат беру тобының білімін біліктілік тексеру хаттамасының электрондық көшірмесі (Нормативтік құқықтық актілерді мемлекеттік тіркеу тізілімінде № 10830 болып тіркелген).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