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085f" w14:textId="2b90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15 маусымдағы № 222 және Қазақстан Республикасы Ұлттық экономика министрінің 2023 жылғы 16 маусымдағы № 116 бірлескен бұйрығы. Қазақстан Республикасының Әділет министрлігінде 2023 жылғы 4 шiлдеде № 33027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Әлеуметтік кодексіне,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28577 болып тіркелген) субъектіге (объектінің) бару арқылы профилактикалық бақылау жүргізу кезінде бақылау субъектілерін іріктеу үшін әзірленді"</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министірлігінің Еңбек және әлеуметтік қорғау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 Бас</w:t>
      </w:r>
    </w:p>
    <w:p>
      <w:pPr>
        <w:spacing w:after="0"/>
        <w:ind w:left="0"/>
        <w:jc w:val="both"/>
      </w:pPr>
      <w:r>
        <w:rPr>
          <w:rFonts w:ascii="Times New Roman"/>
          <w:b w:val="false"/>
          <w:i w:val="false"/>
          <w:color w:val="000000"/>
          <w:sz w:val="28"/>
        </w:rPr>
        <w:t>Прокуратурасының Құқықтық</w:t>
      </w:r>
    </w:p>
    <w:p>
      <w:pPr>
        <w:spacing w:after="0"/>
        <w:ind w:left="0"/>
        <w:jc w:val="both"/>
      </w:pPr>
      <w:r>
        <w:rPr>
          <w:rFonts w:ascii="Times New Roman"/>
          <w:b w:val="false"/>
          <w:i w:val="false"/>
          <w:color w:val="000000"/>
          <w:sz w:val="28"/>
        </w:rPr>
        <w:t>статистика және арнайы есепке алу</w:t>
      </w:r>
    </w:p>
    <w:p>
      <w:pPr>
        <w:spacing w:after="0"/>
        <w:ind w:left="0"/>
        <w:jc w:val="both"/>
      </w:pPr>
      <w:r>
        <w:rPr>
          <w:rFonts w:ascii="Times New Roman"/>
          <w:b w:val="false"/>
          <w:i w:val="false"/>
          <w:color w:val="000000"/>
          <w:sz w:val="28"/>
        </w:rPr>
        <w:t>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