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0c68" w14:textId="f2e0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қағидаларын бекіту туралы" Қазақстан Республикасы Ауыл шаруашылығы министрінің міндетін атқарушының 2015 жылғы 27 ақпандағы № 18-03/157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 маусымдағы № 177 бұйрығы. Қазақстан Республикасының Әділет министрлігінде 2023 жылғы 6 маусымда № 32702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"12. Қасқырларды, шибөрiлердi, қарғаларды, сауысқандарды, үлкен суқұзғын, тағандарды, қаңғыбас иттерді аулау (атып алу) кезінде жануарлар дүниесін пайдалануға берілген рұқсат талап етiлмейдi:</w:t>
      </w:r>
    </w:p>
    <w:bookmarkEnd w:id="1"/>
    <w:p>
      <w:pPr>
        <w:spacing w:after="0"/>
        <w:ind w:left="0"/>
        <w:jc w:val="both"/>
      </w:pPr>
      <w:r>
        <w:rPr>
          <w:rFonts w:ascii="Times New Roman"/>
          <w:b w:val="false"/>
          <w:i w:val="false"/>
          <w:color w:val="000000"/>
          <w:sz w:val="28"/>
        </w:rPr>
        <w:t>
      1) жануарлар дүниесін қорғауды жануарлар дүниесiн қорғау, өсімін молайту және пайдалану саласындағы уәкiлеттi орган ведомствосының аумақтық бөлімшелері және оның мамандандырылған ұйымдарының лауазымды адамдары жүзеге асыру кезінде, аңшылық шаруашылығы субъектілерінің қорықшылық қызметінің, сондай-ақ балық шаруашылығы субъектілерінің қорықшылық қызметiмен үлкен суқұзғынды атуды қызметтік қаруды және авиа- автомото-, көлік құралдарын, оның ішінде қарда жүретін техниканы қолдана отырып жүзеге асырған;</w:t>
      </w:r>
    </w:p>
    <w:p>
      <w:pPr>
        <w:spacing w:after="0"/>
        <w:ind w:left="0"/>
        <w:jc w:val="both"/>
      </w:pPr>
      <w:r>
        <w:rPr>
          <w:rFonts w:ascii="Times New Roman"/>
          <w:b w:val="false"/>
          <w:i w:val="false"/>
          <w:color w:val="000000"/>
          <w:sz w:val="28"/>
        </w:rPr>
        <w:t>
      2) жануарлардың басқа түрлерiн аулау (авиа-, автомото-, көлік құралдарын, оның ішінде қарда жүретін техниканы қолданбай) аң аулауға берілген жануарлар дүниесін пайдалану рұқсаты қолданылатын аңшылық шаруашылығы субъектісінің аумағында жүргізілген кезде жануарлар дүниесін пайдалануға берілген рұқсат талап етiлмейдi.".</w:t>
      </w:r>
    </w:p>
    <w:bookmarkStart w:name="z5"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Репсубликасының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Репсубликасының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