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8295" w14:textId="b5c8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5 қыркүйектегі № 487 бұйрығы. Қазақстан Республикасының Әділет министрлігінде 2022 жылғы 13 қыркүйекте № 29547 болып тіркелді</w:t>
      </w:r>
    </w:p>
    <w:p>
      <w:pPr>
        <w:spacing w:after="0"/>
        <w:ind w:left="0"/>
        <w:jc w:val="both"/>
      </w:pPr>
      <w:bookmarkStart w:name="z1" w:id="0"/>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Қалалар мен елді мекендердің аумақтарын абаттандырудың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 Осы Қалалар мен елді мекендердің аумақтарын абаттандырудың үлгілік қағидалары (бұдан әрі – Үлгілік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23-15) тармақшасына</w:t>
      </w:r>
      <w:r>
        <w:rPr>
          <w:rFonts w:ascii="Times New Roman"/>
          <w:b w:val="false"/>
          <w:i w:val="false"/>
          <w:color w:val="000000"/>
          <w:sz w:val="28"/>
        </w:rPr>
        <w:t xml:space="preserve">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Осы Үлгілік қағидаларда мынадай ұғымдар пайдаланылады:</w:t>
      </w:r>
    </w:p>
    <w:bookmarkEnd w:id="3"/>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p>
      <w:pPr>
        <w:spacing w:after="0"/>
        <w:ind w:left="0"/>
        <w:jc w:val="both"/>
      </w:pPr>
      <w:r>
        <w:rPr>
          <w:rFonts w:ascii="Times New Roman"/>
          <w:b w:val="false"/>
          <w:i w:val="false"/>
          <w:color w:val="000000"/>
          <w:sz w:val="28"/>
        </w:rPr>
        <w:t>
      3) қатты тұрмыстық қалдықтар – қатты түрдегі коммуналдық қалдықтар;</w:t>
      </w:r>
    </w:p>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тұлға;</w:t>
      </w:r>
    </w:p>
    <w:p>
      <w:pPr>
        <w:spacing w:after="0"/>
        <w:ind w:left="0"/>
        <w:jc w:val="both"/>
      </w:pPr>
      <w:r>
        <w:rPr>
          <w:rFonts w:ascii="Times New Roman"/>
          <w:b w:val="false"/>
          <w:i w:val="false"/>
          <w:color w:val="000000"/>
          <w:sz w:val="28"/>
        </w:rPr>
        <w:t>
      8)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–контейнер) жинақтауды қамтамасыз етеді.</w:t>
      </w:r>
    </w:p>
    <w:bookmarkEnd w:id="4"/>
    <w:bookmarkStart w:name="z11" w:id="5"/>
    <w:p>
      <w:pPr>
        <w:spacing w:after="0"/>
        <w:ind w:left="0"/>
        <w:jc w:val="both"/>
      </w:pPr>
      <w:r>
        <w:rPr>
          <w:rFonts w:ascii="Times New Roman"/>
          <w:b w:val="false"/>
          <w:i w:val="false"/>
          <w:color w:val="000000"/>
          <w:sz w:val="28"/>
        </w:rPr>
        <w:t xml:space="preserve">
      18.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 басқару қағидаларының (Нормативтік құқықтық актілерді мемлекеттік тіркеу тізілімінде № 26341 болып тіркелген) нормаларымен реттеледі.";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xml:space="preserve">
      "20. Үй иелерінің аумағында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талаптарына сәйкес мамандандырылған көлік үшін ыңғайлы кірме жолдармен контейнерлерді орналастыруға арналған арнайы алаңдар болады.</w:t>
      </w:r>
    </w:p>
    <w:bookmarkEnd w:id="6"/>
    <w:bookmarkStart w:name="z15" w:id="7"/>
    <w:p>
      <w:pPr>
        <w:spacing w:after="0"/>
        <w:ind w:left="0"/>
        <w:jc w:val="both"/>
      </w:pPr>
      <w:r>
        <w:rPr>
          <w:rFonts w:ascii="Times New Roman"/>
          <w:b w:val="false"/>
          <w:i w:val="false"/>
          <w:color w:val="000000"/>
          <w:sz w:val="28"/>
        </w:rPr>
        <w:t>
      21. Контейнерлерге және контейнерлік алаңдарға тек коммуналдық қалдықтарды тастауға және жинауға жол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"23.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ұйымдар:</w:t>
      </w:r>
    </w:p>
    <w:bookmarkEnd w:id="9"/>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тиісті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Start w:name="z22" w:id="10"/>
    <w:p>
      <w:pPr>
        <w:spacing w:after="0"/>
        <w:ind w:left="0"/>
        <w:jc w:val="both"/>
      </w:pPr>
      <w:r>
        <w:rPr>
          <w:rFonts w:ascii="Times New Roman"/>
          <w:b w:val="false"/>
          <w:i w:val="false"/>
          <w:color w:val="000000"/>
          <w:sz w:val="28"/>
        </w:rPr>
        <w:t>
      28. Контейнерлерден коммуналдық қалдықтарды тасымалдауды жүзеге асыратын мамандандырылған көлікке тиеу кезінде шашылып қалған қоқыстарды жинауды оларды шығаратын ұйымның жұмыскерлері жүргізеді.".</w:t>
      </w:r>
    </w:p>
    <w:bookmarkEnd w:id="10"/>
    <w:bookmarkStart w:name="z23"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1"/>
    <w:bookmarkStart w:name="z2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5"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26"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14"/>
    <w:bookmarkStart w:name="z2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