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f1ce" w14:textId="f86f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 Ауыл шаруашылығы министрінің 2016 жылғы 20 шілдедегі № 319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25 мамырдағы № 185/НҚ бұйрығы. Қазақстан Республикасының Әділет министрлігінде 2022 жылғы 27 мамырда № 28254 болып тіркелді. Күші жойылды - Қазақстан Республикасының Цифрлық даму, инновациялар және аэроғарыш өнеркәсібі министрінің 2023 жылғы 13 наурыздағы № 90/НҚ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13.03.2023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 Ауыл шаруашылығы министрінің 2016 жылғы 20 шілдедегі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14172 болып тіркелген) мынадай өзгерістер енгізілсін: </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Геодезиялық пункттерді қорғау, бұзу немесе қайта салу (орнын ауыстыру) туралы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Геодезиялық пункттерді қорғау, бұзу немесе қайта салу (орнын ауыстыру) туралы қағидалар (бұдан әрі – Қағидалар) "Геодезия және картография туралы" Қазақстан Республикасы Заңының (бұдан әрі – Заң) </w:t>
      </w:r>
      <w:r>
        <w:rPr>
          <w:rFonts w:ascii="Times New Roman"/>
          <w:b w:val="false"/>
          <w:i w:val="false"/>
          <w:color w:val="000000"/>
          <w:sz w:val="28"/>
        </w:rPr>
        <w:t>16-бабы</w:t>
      </w:r>
      <w:r>
        <w:rPr>
          <w:rFonts w:ascii="Times New Roman"/>
          <w:b w:val="false"/>
          <w:i w:val="false"/>
          <w:color w:val="000000"/>
          <w:sz w:val="28"/>
        </w:rPr>
        <w:t xml:space="preserve"> 5-тармағына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геодезиялық пункттерді қорғауды қамтамасыз ету және оларды бұзуға немесе қайта салуға (орнын ауыстыруға) рұқсат беру мемлекеттік қызметін көрсету тәртібін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"16. Көрсетілетін қызметті берушінің жұмыскері оң қорытынды алған жағдайда, бір жұмыс күні ішінде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көрсетілетін қызметті берушінің басшысының ЭЦҚ қолы қойылған электрондық құжат нысанында рұқсатты береді. </w:t>
      </w:r>
    </w:p>
    <w:bookmarkStart w:name="z6" w:id="3"/>
    <w:p>
      <w:pPr>
        <w:spacing w:after="0"/>
        <w:ind w:left="0"/>
        <w:jc w:val="both"/>
      </w:pPr>
      <w:r>
        <w:rPr>
          <w:rFonts w:ascii="Times New Roman"/>
          <w:b w:val="false"/>
          <w:i w:val="false"/>
          <w:color w:val="000000"/>
          <w:sz w:val="28"/>
        </w:rPr>
        <w:t xml:space="preserve">
      Теріс қорытынды алған кезде көрсетілетін қызметті беруші көрсетілетін қызметті алушыға мемлекеттік қызметті көрсетуден бас тарту жөніндегі алдын ала шешім туралы, сондай-ақ көрсетілетін қызметті алушыға алдын ала шешім бойынша ұстанымды білдіру үшін тыңдауды өткізу уақыты мен орны (тәсілі) туралы хабарлайды. </w:t>
      </w:r>
    </w:p>
    <w:bookmarkEnd w:id="3"/>
    <w:bookmarkStart w:name="z7" w:id="4"/>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bookmarkEnd w:id="4"/>
    <w:bookmarkStart w:name="z8" w:id="5"/>
    <w:p>
      <w:pPr>
        <w:spacing w:after="0"/>
        <w:ind w:left="0"/>
        <w:jc w:val="both"/>
      </w:pPr>
      <w:r>
        <w:rPr>
          <w:rFonts w:ascii="Times New Roman"/>
          <w:b w:val="false"/>
          <w:i w:val="false"/>
          <w:color w:val="000000"/>
          <w:sz w:val="28"/>
        </w:rPr>
        <w:t xml:space="preserve">
      Тыңдау нәтижелері бойынша көрсетілетін қызметті беруші рұқсат береді 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рұқсатты беруден бас тарту туралы дәлелді жауап дайындап, көрсетілетін қызметті алушыға жолдайды.";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"19. Мемлекеттік қызметтер көрсету мәселелері бойынша шағымды қарауды жоғары тұрған әкімшілік орган, лауазымды адам, мемлекеттік қызметтер көрсетудің сапасын бағалау және бақылау жөніндегі уәкілетті орган (бұдан әрі – шағымды қарайтын орган) жүргізеді. </w:t>
      </w:r>
    </w:p>
    <w:p>
      <w:pPr>
        <w:spacing w:after="0"/>
        <w:ind w:left="0"/>
        <w:jc w:val="both"/>
      </w:pPr>
      <w:r>
        <w:rPr>
          <w:rFonts w:ascii="Times New Roman"/>
          <w:b w:val="false"/>
          <w:i w:val="false"/>
          <w:color w:val="000000"/>
          <w:sz w:val="28"/>
        </w:rPr>
        <w:t xml:space="preserve">
      Шағым көрсетілетін қызметті берушіге және (немесе) шешіміне, әрекетіне (әрекетсіздігіне) шағым жасалып отырған лауазымды тұлғаға беріледі. </w:t>
      </w:r>
    </w:p>
    <w:bookmarkStart w:name="z9" w:id="6"/>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w:t>
      </w:r>
    </w:p>
    <w:bookmarkEnd w:id="6"/>
    <w:bookmarkStart w:name="z10" w:id="7"/>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тұлға,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bookmarkEnd w:id="7"/>
    <w:bookmarkStart w:name="z11" w:id="8"/>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жол беріледі.</w:t>
      </w:r>
    </w:p>
    <w:bookmarkEnd w:id="8"/>
    <w:bookmarkStart w:name="z12" w:id="9"/>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бес жұмыс күні ішінде қаралуға жатады.</w:t>
      </w:r>
    </w:p>
    <w:bookmarkEnd w:id="9"/>
    <w:bookmarkStart w:name="z13" w:id="10"/>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бұйрықтың қосымшасына сәйкес жаңа редакцияда жазылсын.</w:t>
      </w:r>
    </w:p>
    <w:bookmarkStart w:name="z15" w:id="1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7"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3"/>
    <w:bookmarkStart w:name="z18" w:id="14"/>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End w:id="14"/>
    <w:bookmarkStart w:name="z19"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5"/>
    <w:bookmarkStart w:name="z20"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25 мамырдағы</w:t>
            </w:r>
            <w:r>
              <w:br/>
            </w:r>
            <w:r>
              <w:rPr>
                <w:rFonts w:ascii="Times New Roman"/>
                <w:b w:val="false"/>
                <w:i w:val="false"/>
                <w:color w:val="000000"/>
                <w:sz w:val="20"/>
              </w:rPr>
              <w:t>№ 185/НҚ</w:t>
            </w:r>
            <w:r>
              <w:br/>
            </w:r>
            <w:r>
              <w:rPr>
                <w:rFonts w:ascii="Times New Roman"/>
                <w:b w:val="false"/>
                <w:i w:val="false"/>
                <w:color w:val="000000"/>
                <w:sz w:val="20"/>
              </w:rPr>
              <w:t>Бұйрыққа қосымша</w:t>
            </w:r>
            <w:r>
              <w:br/>
            </w:r>
            <w:r>
              <w:rPr>
                <w:rFonts w:ascii="Times New Roman"/>
                <w:b w:val="false"/>
                <w:i w:val="false"/>
                <w:color w:val="000000"/>
                <w:sz w:val="20"/>
              </w:rPr>
              <w:t>Геодезиялық пункттерді</w:t>
            </w:r>
            <w:r>
              <w:br/>
            </w:r>
            <w:r>
              <w:rPr>
                <w:rFonts w:ascii="Times New Roman"/>
                <w:b w:val="false"/>
                <w:i w:val="false"/>
                <w:color w:val="000000"/>
                <w:sz w:val="20"/>
              </w:rPr>
              <w:t>қорғау,бұзу немесе қайта салу</w:t>
            </w:r>
            <w:r>
              <w:br/>
            </w:r>
            <w:r>
              <w:rPr>
                <w:rFonts w:ascii="Times New Roman"/>
                <w:b w:val="false"/>
                <w:i w:val="false"/>
                <w:color w:val="000000"/>
                <w:sz w:val="20"/>
              </w:rPr>
              <w:t>(орнын ауыстыру) туралы</w:t>
            </w:r>
            <w:r>
              <w:br/>
            </w:r>
            <w:r>
              <w:rPr>
                <w:rFonts w:ascii="Times New Roman"/>
                <w:b w:val="false"/>
                <w:i w:val="false"/>
                <w:color w:val="000000"/>
                <w:sz w:val="20"/>
              </w:rPr>
              <w:t>қағидаларға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"Геодезиялық пункттердi бұзуға немесе қайта салуға (орнын ауыстыруға) рұқсат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(тоғыз)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пункттердi бұзуға немесе қайта салуға (ауыстыруға) арналған рұқсат не мемлекеттік қызметті көрсетуден бас тарту туралы дәлелді жауап. Мемлекеттік қызметті көрсету нәтижесін беру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тегiн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берушінің жұмыс кестесі – Қазақстан Республикасының еңбек заңнамасына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нысанындағы геодезиялық пункттердi бұзуға немесе қайта салуға (орнын ауыстыруға)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заңнамаларында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геодезиялық пункттер тығыздығының, қолда бар геодезиялық желіні жаңарту және дамыту перспективаларының болмауы;</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алу үшін ұсынылған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