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cf55" w14:textId="381c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сәйкестікті бағалау саласындағы аккредиттеу туралы заңнамасының сақталуы бойынша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14 наурыздағы № 140-НҚ және Қазақстан Республикасы Ұлттық экономика министрінің 2022 жылғы 15 наурыздағы № 23 бірлескен бұйрығы. Қазақстан Республикасының Әділет министрлігінде 2022 жылғы 18 наурызда № 27176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берілген:</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жөніндегі органға қатысты Қазақстан Республикасының сәйкестікті бағалау саласындағы аккредиттеу туралы заңнамасының сақталуына тексеру парағы;</w:t>
      </w:r>
    </w:p>
    <w:bookmarkEnd w:id="2"/>
    <w:bookmarkStart w:name="z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өлшемдерді орындау әдістемелерін метрологиялық аттестаттауды жүзеге асыратын заңды тұлғаларға қатысты Қазақстан Республикасының сәйкестікті бағалау саласындағы аккредиттеу туралы заңнамасының сақталуына тексеру парағы;</w:t>
      </w:r>
    </w:p>
    <w:bookmarkEnd w:id="3"/>
    <w:bookmarkStart w:name="z5" w:id="4"/>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cалыстырып тексеру зертханасына (орталығына) қатысты Қазақстан Республикасының сәйкестікті бағалау саласындағы аккредиттеу туралы заңнамасының сақталуына тексеру парағы;</w:t>
      </w:r>
    </w:p>
    <w:bookmarkEnd w:id="4"/>
    <w:bookmarkStart w:name="z6" w:id="5"/>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сәйкестікті растау жөніндегі органға және сынақ зертханасына (орталығына) қатысты Қазақстан Республикасының сәйкестікті бағалау саласындағы аккредиттеу туралы заңнамасының сақталуына тексеру парағы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Премьер-Министрінің орынбасары</w:t>
            </w:r>
          </w:p>
          <w:p>
            <w:pPr>
              <w:spacing w:after="20"/>
              <w:ind w:left="20"/>
              <w:jc w:val="both"/>
            </w:pPr>
            <w:r>
              <w:rPr>
                <w:rFonts w:ascii="Times New Roman"/>
                <w:b w:val="false"/>
                <w:i/>
                <w:color w:val="000000"/>
                <w:sz w:val="20"/>
              </w:rPr>
              <w:t xml:space="preserve">           __________ А. Куантыров                            - Сауда және интеграция министрі</w:t>
            </w:r>
          </w:p>
          <w:p>
            <w:pPr>
              <w:spacing w:after="20"/>
              <w:ind w:left="20"/>
              <w:jc w:val="both"/>
            </w:pPr>
            <w:r>
              <w:rPr>
                <w:rFonts w:ascii="Times New Roman"/>
                <w:b w:val="false"/>
                <w:i/>
                <w:color w:val="000000"/>
                <w:sz w:val="20"/>
              </w:rPr>
              <w:t xml:space="preserve">                                                                                      __________ 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Прокуратурасының Құқықтық</w:t>
            </w:r>
          </w:p>
          <w:p>
            <w:pPr>
              <w:spacing w:after="20"/>
              <w:ind w:left="20"/>
              <w:jc w:val="both"/>
            </w:pPr>
            <w:r>
              <w:rPr>
                <w:rFonts w:ascii="Times New Roman"/>
                <w:b/>
                <w:i w:val="false"/>
                <w:color w:val="000000"/>
                <w:sz w:val="20"/>
              </w:rPr>
              <w:t>статистика және арнайы</w:t>
            </w:r>
          </w:p>
          <w:p>
            <w:pPr>
              <w:spacing w:after="20"/>
              <w:ind w:left="20"/>
              <w:jc w:val="both"/>
            </w:pPr>
            <w:r>
              <w:rPr>
                <w:rFonts w:ascii="Times New Roman"/>
                <w:b/>
                <w:i w:val="false"/>
                <w:color w:val="000000"/>
                <w:sz w:val="20"/>
              </w:rPr>
              <w:t>есепке алу 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сәйкестікті бағалау саласындағы аккредиттеу туралы заңнамасының сақталуы бойынша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44" w:id="11"/>
    <w:p>
      <w:pPr>
        <w:spacing w:after="0"/>
        <w:ind w:left="0"/>
        <w:jc w:val="both"/>
      </w:pPr>
      <w:r>
        <w:rPr>
          <w:rFonts w:ascii="Times New Roman"/>
          <w:b w:val="false"/>
          <w:i w:val="false"/>
          <w:color w:val="000000"/>
          <w:sz w:val="28"/>
        </w:rPr>
        <w:t xml:space="preserve">
      1. Осы Қазақстан Республикасының сәйкестікті бағалау саласындағы аккредиттеу туралы заңнамасының сақталуы бойынша бақылау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және тексеру парақтарының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1"/>
    <w:bookmarkStart w:name="z45"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07" w:id="13"/>
    <w:p>
      <w:pPr>
        <w:spacing w:after="0"/>
        <w:ind w:left="0"/>
        <w:jc w:val="both"/>
      </w:pPr>
      <w:r>
        <w:rPr>
          <w:rFonts w:ascii="Times New Roman"/>
          <w:b w:val="false"/>
          <w:i w:val="false"/>
          <w:color w:val="000000"/>
          <w:sz w:val="28"/>
        </w:rPr>
        <w:t>
      1) аккредиттеу және сәйкестікті бағалау саласындағы тәуекел – адамның өмірін немесе денсаулығын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3"/>
    <w:bookmarkStart w:name="z108" w:id="14"/>
    <w:p>
      <w:pPr>
        <w:spacing w:after="0"/>
        <w:ind w:left="0"/>
        <w:jc w:val="both"/>
      </w:pPr>
      <w:r>
        <w:rPr>
          <w:rFonts w:ascii="Times New Roman"/>
          <w:b w:val="false"/>
          <w:i w:val="false"/>
          <w:color w:val="000000"/>
          <w:sz w:val="28"/>
        </w:rPr>
        <w:t>
      2) бақылау субъектілері (объектілері) – аккредиттеу жөніндегі қызметті, өлшемдерді орындау әдістемелерін метрологиялық аттестаттауды, өлшем құралдарын салыстырып тексеруді, сынауды, өнімнің, процестердің, көрсетілетін қызметтердің сәйкестігін растау жөніндегі жұмысты жүзеге асыратын субъектілер (объектілер);</w:t>
      </w:r>
    </w:p>
    <w:bookmarkEnd w:id="14"/>
    <w:bookmarkStart w:name="z109" w:id="15"/>
    <w:p>
      <w:pPr>
        <w:spacing w:after="0"/>
        <w:ind w:left="0"/>
        <w:jc w:val="both"/>
      </w:pPr>
      <w:r>
        <w:rPr>
          <w:rFonts w:ascii="Times New Roman"/>
          <w:b w:val="false"/>
          <w:i w:val="false"/>
          <w:color w:val="000000"/>
          <w:sz w:val="28"/>
        </w:rPr>
        <w:t>
      3) балл – тәуекелді есептеудің сандық өлшемі;</w:t>
      </w:r>
    </w:p>
    <w:bookmarkEnd w:id="15"/>
    <w:bookmarkStart w:name="z110" w:id="16"/>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16"/>
    <w:bookmarkStart w:name="z111" w:id="17"/>
    <w:p>
      <w:pPr>
        <w:spacing w:after="0"/>
        <w:ind w:left="0"/>
        <w:jc w:val="both"/>
      </w:pPr>
      <w:r>
        <w:rPr>
          <w:rFonts w:ascii="Times New Roman"/>
          <w:b w:val="false"/>
          <w:i w:val="false"/>
          <w:color w:val="000000"/>
          <w:sz w:val="28"/>
        </w:rPr>
        <w:t xml:space="preserve">
      5) елеулі бұзушылықтар – жеке және заңды тұлғалардың, мемлекеттің заңды мүдделерін қозғайтын, халықтың өміріне, денсаулығына зиян келтіру қаупінің туындауы үшін алғышарттар жасайтын Қазақстан Республикасының сәйкестікті бағалау саласындағы аккредиттеу туралы заңнамасы талаптарының бұзылуы; </w:t>
      </w:r>
    </w:p>
    <w:bookmarkEnd w:id="17"/>
    <w:bookmarkStart w:name="z112" w:id="18"/>
    <w:p>
      <w:pPr>
        <w:spacing w:after="0"/>
        <w:ind w:left="0"/>
        <w:jc w:val="both"/>
      </w:pPr>
      <w:r>
        <w:rPr>
          <w:rFonts w:ascii="Times New Roman"/>
          <w:b w:val="false"/>
          <w:i w:val="false"/>
          <w:color w:val="000000"/>
          <w:sz w:val="28"/>
        </w:rPr>
        <w:t xml:space="preserve">
      6) елеусіз бұзушылықтар – елеулі және өрескел бұзушылықтарға жатпайтын Қазақстан Республикасының сәйкестікті бағалау саласындағы аккредиттеу туралы заңнамасы талаптарының бұзылуы; </w:t>
      </w:r>
    </w:p>
    <w:bookmarkEnd w:id="18"/>
    <w:bookmarkStart w:name="z113" w:id="19"/>
    <w:p>
      <w:pPr>
        <w:spacing w:after="0"/>
        <w:ind w:left="0"/>
        <w:jc w:val="both"/>
      </w:pPr>
      <w:r>
        <w:rPr>
          <w:rFonts w:ascii="Times New Roman"/>
          <w:b w:val="false"/>
          <w:i w:val="false"/>
          <w:color w:val="000000"/>
          <w:sz w:val="28"/>
        </w:rPr>
        <w:t xml:space="preserve">
      7) өрескел бұзушылықтар – сәйкестікті бағалау құжаттарын және аккредиттеу аттестаттарын негізсіз беруге және (немесе) бермеуге әкеп соғатын, жеке және заңды тұлғалардың заңды мүдделерін қозғайтын, халықтың өміріне, денсаулығына зиян келтіру қатерлерін туғызатын Қазақстан Республикасының сәйкестікті бағалау саласындағы аккредиттеу туралы заңнамасының талаптарын бұзушылықтар; </w:t>
      </w:r>
    </w:p>
    <w:bookmarkEnd w:id="19"/>
    <w:bookmarkStart w:name="z114" w:id="20"/>
    <w:p>
      <w:pPr>
        <w:spacing w:after="0"/>
        <w:ind w:left="0"/>
        <w:jc w:val="both"/>
      </w:pPr>
      <w:r>
        <w:rPr>
          <w:rFonts w:ascii="Times New Roman"/>
          <w:b w:val="false"/>
          <w:i w:val="false"/>
          <w:color w:val="000000"/>
          <w:sz w:val="28"/>
        </w:rPr>
        <w:t xml:space="preserve">
      8)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 </w:t>
      </w:r>
    </w:p>
    <w:bookmarkEnd w:id="20"/>
    <w:bookmarkStart w:name="z115" w:id="21"/>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сәйкестікті бағалау және аккредиттеу саласындағы тәуекел дәрежесіне байланысты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 шарттары; </w:t>
      </w:r>
    </w:p>
    <w:bookmarkEnd w:id="21"/>
    <w:bookmarkStart w:name="z116" w:id="22"/>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 нақты тексерілетін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 шарттары; </w:t>
      </w:r>
    </w:p>
    <w:bookmarkEnd w:id="22"/>
    <w:bookmarkStart w:name="z117" w:id="23"/>
    <w:p>
      <w:pPr>
        <w:spacing w:after="0"/>
        <w:ind w:left="0"/>
        <w:jc w:val="both"/>
      </w:pPr>
      <w:r>
        <w:rPr>
          <w:rFonts w:ascii="Times New Roman"/>
          <w:b w:val="false"/>
          <w:i w:val="false"/>
          <w:color w:val="000000"/>
          <w:sz w:val="28"/>
        </w:rPr>
        <w:t xml:space="preserve">
      11)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сәйкестікті бағалау және аккредиттеу саласында, сондай-ақ нақты бақылау субъектісі (объектісі) үшін тәуекел деңгейіне енгізілген өзгерістерді және (немесе) осындай бақылау бақылау субъектісіне (объектісіне) бару арқылы профилактикалық бақылаудан босатуды және (немесе) тексеруді жүзеге асыру; </w:t>
      </w:r>
    </w:p>
    <w:bookmarkEnd w:id="23"/>
    <w:bookmarkStart w:name="z118" w:id="24"/>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24"/>
    <w:bookmarkStart w:name="z119" w:id="25"/>
    <w:p>
      <w:pPr>
        <w:spacing w:after="0"/>
        <w:ind w:left="0"/>
        <w:jc w:val="both"/>
      </w:pPr>
      <w:r>
        <w:rPr>
          <w:rFonts w:ascii="Times New Roman"/>
          <w:b w:val="false"/>
          <w:i w:val="false"/>
          <w:color w:val="000000"/>
          <w:sz w:val="28"/>
        </w:rPr>
        <w:t>
      13) іріктеме жиынтық (іріктеме) – Кодекстің 143-бабының 2-тармағына сәйкес мемлекеттік бақылау мен қадағалаудың нақты саласында бақылау субъектілерінің (объектілерінің) біртекті тобына жататын бағаланатын субъектілердің (объектілердің) тізбесі.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сәйкестікті бағалау және аккредиттеу саласындағы тәуекел дәрежесін бағалау өлшемшарттары кезең-кезеңмен жүзеге асырылатын (Шешімдердің көп өлшемшартты талдауы) объективті және субъективті өлшемшарттар арқылы қалыптастырылады.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27"/>
    <w:p>
      <w:pPr>
        <w:spacing w:after="0"/>
        <w:ind w:left="0"/>
        <w:jc w:val="left"/>
      </w:pPr>
      <w:r>
        <w:rPr>
          <w:rFonts w:ascii="Times New Roman"/>
          <w:b/>
          <w:i w:val="false"/>
          <w:color w:val="000000"/>
        </w:rPr>
        <w:t xml:space="preserve"> 2-тарау. Объективті өлшемшарттар</w:t>
      </w:r>
    </w:p>
    <w:bookmarkEnd w:id="27"/>
    <w:bookmarkStart w:name="z58" w:id="28"/>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8"/>
    <w:bookmarkStart w:name="z59" w:id="29"/>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29"/>
    <w:bookmarkStart w:name="z60" w:id="30"/>
    <w:p>
      <w:pPr>
        <w:spacing w:after="0"/>
        <w:ind w:left="0"/>
        <w:jc w:val="both"/>
      </w:pPr>
      <w:r>
        <w:rPr>
          <w:rFonts w:ascii="Times New Roman"/>
          <w:b w:val="false"/>
          <w:i w:val="false"/>
          <w:color w:val="000000"/>
          <w:sz w:val="28"/>
        </w:rPr>
        <w:t>
      1) объектінің қауіптілік (күрделілік) деңгейі;</w:t>
      </w:r>
    </w:p>
    <w:bookmarkEnd w:id="30"/>
    <w:bookmarkStart w:name="z61" w:id="31"/>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31"/>
    <w:bookmarkStart w:name="z62" w:id="32"/>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32"/>
    <w:bookmarkStart w:name="z63" w:id="33"/>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33"/>
    <w:bookmarkStart w:name="z64" w:id="34"/>
    <w:p>
      <w:pPr>
        <w:spacing w:after="0"/>
        <w:ind w:left="0"/>
        <w:jc w:val="both"/>
      </w:pPr>
      <w:r>
        <w:rPr>
          <w:rFonts w:ascii="Times New Roman"/>
          <w:b w:val="false"/>
          <w:i w:val="false"/>
          <w:color w:val="000000"/>
          <w:sz w:val="28"/>
        </w:rPr>
        <w:t>
      Аккредиттеу және сәйкестікті бағалау туралы заңнама саласында объективті өлшемшарттар бойынша тәуекелдің жоғары дәрежесіне мынадай бақылау субъектілері (объектілері) жатады:</w:t>
      </w:r>
    </w:p>
    <w:bookmarkEnd w:id="34"/>
    <w:bookmarkStart w:name="z65" w:id="35"/>
    <w:p>
      <w:pPr>
        <w:spacing w:after="0"/>
        <w:ind w:left="0"/>
        <w:jc w:val="both"/>
      </w:pPr>
      <w:r>
        <w:rPr>
          <w:rFonts w:ascii="Times New Roman"/>
          <w:b w:val="false"/>
          <w:i w:val="false"/>
          <w:color w:val="000000"/>
          <w:sz w:val="28"/>
        </w:rPr>
        <w:t>
      1) сәйкестікті растау жөніндегі орган;</w:t>
      </w:r>
    </w:p>
    <w:bookmarkEnd w:id="35"/>
    <w:bookmarkStart w:name="z66" w:id="36"/>
    <w:p>
      <w:pPr>
        <w:spacing w:after="0"/>
        <w:ind w:left="0"/>
        <w:jc w:val="both"/>
      </w:pPr>
      <w:r>
        <w:rPr>
          <w:rFonts w:ascii="Times New Roman"/>
          <w:b w:val="false"/>
          <w:i w:val="false"/>
          <w:color w:val="000000"/>
          <w:sz w:val="28"/>
        </w:rPr>
        <w:t>
      2) сынақ зертханасы (Орталық);</w:t>
      </w:r>
    </w:p>
    <w:bookmarkEnd w:id="36"/>
    <w:bookmarkStart w:name="z67" w:id="37"/>
    <w:p>
      <w:pPr>
        <w:spacing w:after="0"/>
        <w:ind w:left="0"/>
        <w:jc w:val="both"/>
      </w:pPr>
      <w:r>
        <w:rPr>
          <w:rFonts w:ascii="Times New Roman"/>
          <w:b w:val="false"/>
          <w:i w:val="false"/>
          <w:color w:val="000000"/>
          <w:sz w:val="28"/>
        </w:rPr>
        <w:t>
      3) тексеру зертханасы;</w:t>
      </w:r>
    </w:p>
    <w:bookmarkEnd w:id="37"/>
    <w:bookmarkStart w:name="z68" w:id="38"/>
    <w:p>
      <w:pPr>
        <w:spacing w:after="0"/>
        <w:ind w:left="0"/>
        <w:jc w:val="both"/>
      </w:pPr>
      <w:r>
        <w:rPr>
          <w:rFonts w:ascii="Times New Roman"/>
          <w:b w:val="false"/>
          <w:i w:val="false"/>
          <w:color w:val="000000"/>
          <w:sz w:val="28"/>
        </w:rPr>
        <w:t>
      4) аккредиттеу жөніндегі орган.</w:t>
      </w:r>
    </w:p>
    <w:bookmarkEnd w:id="38"/>
    <w:p>
      <w:pPr>
        <w:spacing w:after="0"/>
        <w:ind w:left="0"/>
        <w:jc w:val="both"/>
      </w:pPr>
      <w:r>
        <w:rPr>
          <w:rFonts w:ascii="Times New Roman"/>
          <w:b w:val="false"/>
          <w:i w:val="false"/>
          <w:color w:val="000000"/>
          <w:sz w:val="28"/>
        </w:rPr>
        <w:t>
      Тәуекелдің орташа дәрежесіне – аккредиттеу, сәйкестікті растау жөніндегі сарапшы-аудиторлар.</w:t>
      </w:r>
    </w:p>
    <w:p>
      <w:pPr>
        <w:spacing w:after="0"/>
        <w:ind w:left="0"/>
        <w:jc w:val="both"/>
      </w:pPr>
      <w:r>
        <w:rPr>
          <w:rFonts w:ascii="Times New Roman"/>
          <w:b w:val="false"/>
          <w:i w:val="false"/>
          <w:color w:val="000000"/>
          <w:sz w:val="28"/>
        </w:rPr>
        <w:t>
      Тәуекелдің төмен дәрежесіне – техникалық сарапшылар.</w:t>
      </w:r>
    </w:p>
    <w:bookmarkStart w:name="z69" w:id="39"/>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9"/>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70" w:id="40"/>
    <w:p>
      <w:pPr>
        <w:spacing w:after="0"/>
        <w:ind w:left="0"/>
        <w:jc w:val="left"/>
      </w:pPr>
      <w:r>
        <w:rPr>
          <w:rFonts w:ascii="Times New Roman"/>
          <w:b/>
          <w:i w:val="false"/>
          <w:color w:val="000000"/>
        </w:rPr>
        <w:t xml:space="preserve"> 3-тарау. Субъективті өлшемшарттар</w:t>
      </w:r>
    </w:p>
    <w:bookmarkEnd w:id="40"/>
    <w:bookmarkStart w:name="z71" w:id="41"/>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1"/>
    <w:bookmarkStart w:name="z72" w:id="42"/>
    <w:p>
      <w:pPr>
        <w:spacing w:after="0"/>
        <w:ind w:left="0"/>
        <w:jc w:val="both"/>
      </w:pPr>
      <w:r>
        <w:rPr>
          <w:rFonts w:ascii="Times New Roman"/>
          <w:b w:val="false"/>
          <w:i w:val="false"/>
          <w:color w:val="000000"/>
          <w:sz w:val="28"/>
        </w:rPr>
        <w:t>
      1) деректер базасын қалыптастыру және ақпарат жинау;</w:t>
      </w:r>
    </w:p>
    <w:bookmarkEnd w:id="42"/>
    <w:bookmarkStart w:name="z73" w:id="43"/>
    <w:p>
      <w:pPr>
        <w:spacing w:after="0"/>
        <w:ind w:left="0"/>
        <w:jc w:val="both"/>
      </w:pPr>
      <w:r>
        <w:rPr>
          <w:rFonts w:ascii="Times New Roman"/>
          <w:b w:val="false"/>
          <w:i w:val="false"/>
          <w:color w:val="000000"/>
          <w:sz w:val="28"/>
        </w:rPr>
        <w:t>
      2) ақпаратты талдау және тәуекелдерді бағалау.</w:t>
      </w:r>
    </w:p>
    <w:bookmarkEnd w:id="43"/>
    <w:bookmarkStart w:name="z74" w:id="44"/>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44"/>
    <w:bookmarkStart w:name="z120" w:id="45"/>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5"/>
    <w:bookmarkStart w:name="z121" w:id="46"/>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bookmarkEnd w:id="46"/>
    <w:bookmarkStart w:name="z122" w:id="47"/>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47"/>
    <w:p>
      <w:pPr>
        <w:spacing w:after="0"/>
        <w:ind w:left="0"/>
        <w:jc w:val="both"/>
      </w:pPr>
      <w:r>
        <w:rPr>
          <w:rFonts w:ascii="Times New Roman"/>
          <w:b w:val="false"/>
          <w:i w:val="false"/>
          <w:color w:val="000000"/>
          <w:sz w:val="28"/>
        </w:rPr>
        <w:t>
      Қолда бар ақпарат көздері негізінде аккредиттеу және сәйкестікті бағалау саласындағы мемлекеттік бақылау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тексеру жүргізуді және профилактикалық бақылауды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барып, оларды мемлекеттік бақылаудың кезекті кезеңіне тізімдерді қалыптастыру кезінде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10. Салалық тәуекелдерді айқындау үшін ақпарат көздері бойынша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8"/>
    <w:p>
      <w:pPr>
        <w:spacing w:after="0"/>
        <w:ind w:left="0"/>
        <w:jc w:val="both"/>
      </w:pPr>
      <w:r>
        <w:rPr>
          <w:rFonts w:ascii="Times New Roman"/>
          <w:b w:val="false"/>
          <w:i w:val="false"/>
          <w:color w:val="000000"/>
          <w:sz w:val="28"/>
        </w:rPr>
        <w:t xml:space="preserve">
      Аккредиттеу және сәйкестікті бағалау саласындағы бұзушылықтардың маңыздылық дәрежесі бойынша бөліп көрсетілген субъективті өлшемшарттары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49"/>
    <w:bookmarkStart w:name="z83" w:id="5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50"/>
    <w:bookmarkStart w:name="z84" w:id="51"/>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51"/>
    <w:bookmarkStart w:name="z85" w:id="52"/>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52"/>
    <w:bookmarkStart w:name="z86" w:id="53"/>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End w:id="53"/>
    <w:bookmarkStart w:name="z87" w:id="54"/>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54"/>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bookmarkStart w:name="z123" w:id="55"/>
    <w:p>
      <w:pPr>
        <w:spacing w:after="0"/>
        <w:ind w:left="0"/>
        <w:jc w:val="both"/>
      </w:pPr>
      <w:r>
        <w:rPr>
          <w:rFonts w:ascii="Times New Roman"/>
          <w:b w:val="false"/>
          <w:i w:val="false"/>
          <w:color w:val="000000"/>
          <w:sz w:val="28"/>
        </w:rPr>
        <w:t>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1-қосымшаға сәйкес субъективті өлшемшарттар тізбесі негізінде жүзеге асырылады.</w:t>
      </w:r>
    </w:p>
    <w:bookmarkEnd w:id="5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кейіннен деректер мәндерін 0-ден бастап 100 баллға дейінгі ауқымда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Rаралық = SP + SC, мұнда</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субъективті өлшемшарт көрсеткіші,</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xi субъективті өлшемшарт көрсеткішінің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17500"/>
                    </a:xfrm>
                    <a:prstGeom prst="rect">
                      <a:avLst/>
                    </a:prstGeom>
                  </pic:spPr>
                </pic:pic>
              </a:graphicData>
            </a:graphic>
          </wp:inline>
        </w:drawing>
      </w:r>
    </w:p>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12-1-тармақпен толықтырылды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56"/>
    <w:p>
      <w:pPr>
        <w:spacing w:after="0"/>
        <w:ind w:left="0"/>
        <w:jc w:val="left"/>
      </w:pPr>
      <w:r>
        <w:rPr>
          <w:rFonts w:ascii="Times New Roman"/>
          <w:b/>
          <w:i w:val="false"/>
          <w:color w:val="000000"/>
        </w:rPr>
        <w:t xml:space="preserve"> 4-тарау. Тәуекелдерді басқару</w:t>
      </w:r>
    </w:p>
    <w:bookmarkEnd w:id="56"/>
    <w:bookmarkStart w:name="z89" w:id="57"/>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аккредиттеу және сәйкестікті бағалау саласындағы мемлекеттік бақылау органның тәуекел дәрежесін бағалау өлшемшарттарымен айқындалатын кезеңге бақылау субъектісіне (объектісіне) және (немесе) тексеруге бара отырып, профилактикалық бақылау жүргізуден босатылады.</w:t>
      </w:r>
    </w:p>
    <w:bookmarkEnd w:id="57"/>
    <w:bookmarkStart w:name="z90" w:id="58"/>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58"/>
    <w:bookmarkStart w:name="z91" w:id="59"/>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59"/>
    <w:bookmarkStart w:name="z92" w:id="60"/>
    <w:p>
      <w:pPr>
        <w:spacing w:after="0"/>
        <w:ind w:left="0"/>
        <w:jc w:val="both"/>
      </w:pPr>
      <w:r>
        <w:rPr>
          <w:rFonts w:ascii="Times New Roman"/>
          <w:b w:val="false"/>
          <w:i w:val="false"/>
          <w:color w:val="000000"/>
          <w:sz w:val="28"/>
        </w:rPr>
        <w:t>
      2) егер Қазақстан Республикасының заңдарында және аккредиттеу және сәйкестікті бағалау саласындағы мемлекеттік бақылау органның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айқындалса;</w:t>
      </w:r>
    </w:p>
    <w:bookmarkEnd w:id="60"/>
    <w:bookmarkStart w:name="z93" w:id="61"/>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61"/>
    <w:bookmarkStart w:name="z94" w:id="62"/>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6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аккредиттеу және сәйкестікті бағалау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6" w:id="6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63"/>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 бақылау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субъектілердің (объектілердің) біртекті тобының атауы</w:t>
      </w:r>
    </w:p>
    <w:p>
      <w:pPr>
        <w:spacing w:after="0"/>
        <w:ind w:left="0"/>
        <w:jc w:val="both"/>
      </w:pPr>
      <w:r>
        <w:rPr>
          <w:rFonts w:ascii="Times New Roman"/>
          <w:b w:val="false"/>
          <w:i w:val="false"/>
          <w:color w:val="000000"/>
          <w:sz w:val="28"/>
        </w:rPr>
        <w:t>
      қатысты Қазақстан Республикасының сәйкестікті бағалау саласындағы аккредиттеу туралы заңнамасының сақталуына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(жиынтығында 100 баллдан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тексеру зертханасына (орталығына), сәйкестікті растау жөніндегі органға және сынақ зертханасына (орталығына)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жүргізген жоспарлы және жоспардан тыс бағалаулардың, сондай-ақ аккредиттеу субъектісі қызметінің мониторингінің нәтижелері бойынша Қазақстан Республикасының сәйкестікті бағалау саласындағы аккредиттеу туралы заңнамасының бұзу және аккредиттеу өлшемшарттарына сәйкес келмеу туралы расталған мәліметтердің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8" w:id="64"/>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аккредиттеу және сәйкестікті бағалау саласындағы бақылау субъектілеріне (объектілеріне) қойылатын талаптардың бұзылу дәрежесі</w:t>
      </w:r>
    </w:p>
    <w:bookmarkEnd w:id="64"/>
    <w:p>
      <w:pPr>
        <w:spacing w:after="0"/>
        <w:ind w:left="0"/>
        <w:jc w:val="both"/>
      </w:pPr>
      <w:r>
        <w:rPr>
          <w:rFonts w:ascii="Times New Roman"/>
          <w:b w:val="false"/>
          <w:i w:val="false"/>
          <w:color w:val="ff0000"/>
          <w:sz w:val="28"/>
        </w:rPr>
        <w:t xml:space="preserve">
      Ескерту. Атауы жаңа редакцияда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 </w:t>
      </w:r>
    </w:p>
    <w:p>
      <w:pPr>
        <w:spacing w:after="0"/>
        <w:ind w:left="0"/>
        <w:jc w:val="both"/>
      </w:pPr>
      <w:r>
        <w:rPr>
          <w:rFonts w:ascii="Times New Roman"/>
          <w:b w:val="false"/>
          <w:i w:val="false"/>
          <w:color w:val="000000"/>
          <w:sz w:val="28"/>
        </w:rPr>
        <w:t xml:space="preserve">
      Ескерту. 2-қосымшаға өзгеріс енгізілді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00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зертханасына (орталыққа) қатысты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(орталыққа)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00" w:id="65"/>
    <w:p>
      <w:pPr>
        <w:spacing w:after="0"/>
        <w:ind w:left="0"/>
        <w:jc w:val="left"/>
      </w:pPr>
      <w:r>
        <w:rPr>
          <w:rFonts w:ascii="Times New Roman"/>
          <w:b/>
          <w:i w:val="false"/>
          <w:color w:val="000000"/>
        </w:rPr>
        <w:t xml:space="preserve"> Расталған шағымдар мен өтініштер бойынша субъективті өлшемшарттар</w:t>
      </w:r>
    </w:p>
    <w:bookmarkEnd w:id="65"/>
    <w:p>
      <w:pPr>
        <w:spacing w:after="0"/>
        <w:ind w:left="0"/>
        <w:jc w:val="both"/>
      </w:pPr>
      <w:r>
        <w:rPr>
          <w:rFonts w:ascii="Times New Roman"/>
          <w:b w:val="false"/>
          <w:i w:val="false"/>
          <w:color w:val="ff0000"/>
          <w:sz w:val="28"/>
        </w:rPr>
        <w:t xml:space="preserve">
      Ескерту. 3-қосымша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2" w:id="66"/>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бойынша субъективті өлшемшарттар (бақылау субъектісіне (объектісіне) бармай профилактикалық бақылау қорытындылары бойынша берілген қорытынды құжаттар)</w:t>
      </w:r>
    </w:p>
    <w:bookmarkEnd w:id="66"/>
    <w:p>
      <w:pPr>
        <w:spacing w:after="0"/>
        <w:ind w:left="0"/>
        <w:jc w:val="both"/>
      </w:pPr>
      <w:r>
        <w:rPr>
          <w:rFonts w:ascii="Times New Roman"/>
          <w:b w:val="false"/>
          <w:i w:val="false"/>
          <w:color w:val="ff0000"/>
          <w:sz w:val="28"/>
        </w:rPr>
        <w:t xml:space="preserve">
      Ескерту. 5-қосымша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4" w:id="67"/>
    <w:p>
      <w:pPr>
        <w:spacing w:after="0"/>
        <w:ind w:left="0"/>
        <w:jc w:val="left"/>
      </w:pPr>
      <w:r>
        <w:rPr>
          <w:rFonts w:ascii="Times New Roman"/>
          <w:b/>
          <w:i w:val="false"/>
          <w:color w:val="000000"/>
        </w:rPr>
        <w:t xml:space="preserve"> Мемлекеттік органдардың, бұқаралық ақпарат құралдарының ресми интернет-ресурстарын талдау нәтижелері бойынша субъективті өлшемшарттар</w:t>
      </w:r>
    </w:p>
    <w:bookmarkEnd w:id="67"/>
    <w:p>
      <w:pPr>
        <w:spacing w:after="0"/>
        <w:ind w:left="0"/>
        <w:jc w:val="both"/>
      </w:pPr>
      <w:r>
        <w:rPr>
          <w:rFonts w:ascii="Times New Roman"/>
          <w:b w:val="false"/>
          <w:i w:val="false"/>
          <w:color w:val="ff0000"/>
          <w:sz w:val="28"/>
        </w:rPr>
        <w:t xml:space="preserve">
      Ескерту. 6-қосымша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06" w:id="68"/>
    <w:p>
      <w:pPr>
        <w:spacing w:after="0"/>
        <w:ind w:left="0"/>
        <w:jc w:val="left"/>
      </w:pPr>
      <w:r>
        <w:rPr>
          <w:rFonts w:ascii="Times New Roman"/>
          <w:b/>
          <w:i w:val="false"/>
          <w:color w:val="000000"/>
        </w:rPr>
        <w:t xml:space="preserve"> Мемлекеттік органдар мен ұйымдар ұсынатын мәліметтерді талдау нәтижелері бойынша субъективті өлшемшарттар</w:t>
      </w:r>
    </w:p>
    <w:bookmarkEnd w:id="68"/>
    <w:p>
      <w:pPr>
        <w:spacing w:after="0"/>
        <w:ind w:left="0"/>
        <w:jc w:val="both"/>
      </w:pPr>
      <w:r>
        <w:rPr>
          <w:rFonts w:ascii="Times New Roman"/>
          <w:b w:val="false"/>
          <w:i w:val="false"/>
          <w:color w:val="ff0000"/>
          <w:sz w:val="28"/>
        </w:rPr>
        <w:t xml:space="preserve">
      Ескерту. 7-қосымша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Аккредиттеу жөніндегі органға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Өлшемдерді орындау әдістемелерін метрологиялық аттестаттауды жүзеге асыратын заңды тұлғаларға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зертханасына (орталығына)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(орталыққа)қатысты Қазақстан Республикасының сәйкестікті бағалау саласындағы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