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37d8" w14:textId="8af3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Полудин ауылдық округінің Ганькин станциясындағы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Полудин ауылдық округі әкімінің 2021 жылғы 19 сәуірдегі № 8 шешімі. Солтүстік Қазақстан облысының Әділет департаментінде 2021 жылғы 19 сәуірде № 7302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– 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ономастика комиссиясының 2020 жылғы 29 желтоқсандағы қорытындысы негізінде, Ганькин станциясы халқының пікірін ескере отырып, Солтүстік Қазақстан облысы Мағжан Жұмабаев ауданы Полудин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Мағжан Жұмабаев ауданы Полудин ауылдық округінің Ганькин станциясындағы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Береке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Аққайын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сәуірдегі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 Полудин ауылдық округі Ганькин станциясы атауы жоқ көшелеріне атау беру бойынша схемалық карта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