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61e5" w14:textId="1eb6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металл шоттарды ашу, жүргізу және жабу қағидаларын бекіту туралы" Қазақстан Республикасы Ұлттық Банкі Басқармасының 2013 жылғы 27 тамыздағы № 223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20 желтоқсандағы № 115 қаулысы. Қазақстан Республикасының Әділет министрлігінде 2021 жылғы 24 желтоқсанда № 26007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"Банктердің металл шоттарды ашу, жүргізу және жабу қағидаларын бекіту туралы" Қазақстан Республикасы Ұлттық Банкі Басқармасының 2013 жылғы 27 тамыздағы № 223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8800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металл шоттарды ашу, жүргізу және жабу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Банктердің, Қазақстан Республикасының бейрезидент-банктері филиалдарының металл шоттарды ашу, жүргізу және жабу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Банктердің металл шоттарды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атауы мынадай редакцияда жазылсын:</w:t>
      </w:r>
    </w:p>
    <w:bookmarkEnd w:id="6"/>
    <w:bookmarkStart w:name="z9" w:id="7"/>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металл шоттарды ашу, жүргізу және жабу қағидалары";</w:t>
      </w:r>
    </w:p>
    <w:bookmarkEnd w:id="7"/>
    <w:bookmarkStart w:name="z10" w:id="8"/>
    <w:p>
      <w:pPr>
        <w:spacing w:after="0"/>
        <w:ind w:left="0"/>
        <w:jc w:val="both"/>
      </w:pPr>
      <w:r>
        <w:rPr>
          <w:rFonts w:ascii="Times New Roman"/>
          <w:b w:val="false"/>
          <w:i w:val="false"/>
          <w:color w:val="000000"/>
          <w:sz w:val="28"/>
        </w:rPr>
        <w:t>
      кіріспе мынадай редакцияда жазылсын:</w:t>
      </w:r>
    </w:p>
    <w:bookmarkEnd w:id="8"/>
    <w:bookmarkStart w:name="z11" w:id="9"/>
    <w:p>
      <w:pPr>
        <w:spacing w:after="0"/>
        <w:ind w:left="0"/>
        <w:jc w:val="both"/>
      </w:pPr>
      <w:r>
        <w:rPr>
          <w:rFonts w:ascii="Times New Roman"/>
          <w:b w:val="false"/>
          <w:i w:val="false"/>
          <w:color w:val="000000"/>
          <w:sz w:val="28"/>
        </w:rPr>
        <w:t>
      "Осы Банктердің, Қазақстан Республикасының бейрезидент-банктері филиалдарының металл шоттарды ашу, жүргізу және жабу қағидалары (бұдан әрі – Қағидалар) "Қазақстан Республикасының Ұлттық Банкі туралы" Қазақстан Республикасы Заңының 15-бабы екінші бөлігінің 62) тармақшасына сәйкес әзірленді және екінші деңгейдегі банктерде (бұдан әрі – банктер), Қазақстан Республикасының бейрезидент-банктерінің филиалдарында клиенттердің металл шоттарын ашу, жүргізу және жабу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аллокирленбеген металл шоты – банк, Қазақстан Республикасының бейрезидент-банкінің филиалы аффинирленген бағалы металдардың жеке белгілерін көрсетпестен оларды есепке алу, сондай-ақ аффинирленген бағалы металдарды қолма-қол емес (заттай емес) нысанда қабылдау, орналастыру және сатып алу-сату бойынша операцияларды жүзеге асыру үшін ашатын металл шоты;</w:t>
      </w:r>
    </w:p>
    <w:bookmarkEnd w:id="11"/>
    <w:bookmarkStart w:name="z15" w:id="12"/>
    <w:p>
      <w:pPr>
        <w:spacing w:after="0"/>
        <w:ind w:left="0"/>
        <w:jc w:val="both"/>
      </w:pPr>
      <w:r>
        <w:rPr>
          <w:rFonts w:ascii="Times New Roman"/>
          <w:b w:val="false"/>
          <w:i w:val="false"/>
          <w:color w:val="000000"/>
          <w:sz w:val="28"/>
        </w:rPr>
        <w:t>
      2) аллокирленген металл шоты – клиент банкке, Қазақстан Республикасының бейрезидент-банкінің филиалына жауапты сақтауға берген аффинирленген бағалы металдарын заттай нысанда жеке белгілерін сақтай отырып есепке алу үшін банк, Қазақстан Республикасының бейрезидент-банкінің филиалы ашатын металл шоты;</w:t>
      </w:r>
    </w:p>
    <w:bookmarkEnd w:id="12"/>
    <w:bookmarkStart w:name="z16" w:id="13"/>
    <w:p>
      <w:pPr>
        <w:spacing w:after="0"/>
        <w:ind w:left="0"/>
        <w:jc w:val="both"/>
      </w:pPr>
      <w:r>
        <w:rPr>
          <w:rFonts w:ascii="Times New Roman"/>
          <w:b w:val="false"/>
          <w:i w:val="false"/>
          <w:color w:val="000000"/>
          <w:sz w:val="28"/>
        </w:rPr>
        <w:t>
      3) бағалы металдар – кез келген күйдегі және түрдегі алтын, күміс, платина және платина тобының металдары (палладий, иридий, родий, рутений, осмий);</w:t>
      </w:r>
    </w:p>
    <w:bookmarkEnd w:id="13"/>
    <w:bookmarkStart w:name="z17" w:id="14"/>
    <w:p>
      <w:pPr>
        <w:spacing w:after="0"/>
        <w:ind w:left="0"/>
        <w:jc w:val="both"/>
      </w:pPr>
      <w:r>
        <w:rPr>
          <w:rFonts w:ascii="Times New Roman"/>
          <w:b w:val="false"/>
          <w:i w:val="false"/>
          <w:color w:val="000000"/>
          <w:sz w:val="28"/>
        </w:rPr>
        <w:t>
      4) бағалы металдың лигатуралық массасы – қоспаларымен бірге бағалы металдан тұратын құйманың нақты жалпы массасы;</w:t>
      </w:r>
    </w:p>
    <w:bookmarkEnd w:id="14"/>
    <w:bookmarkStart w:name="z18" w:id="15"/>
    <w:p>
      <w:pPr>
        <w:spacing w:after="0"/>
        <w:ind w:left="0"/>
        <w:jc w:val="both"/>
      </w:pPr>
      <w:r>
        <w:rPr>
          <w:rFonts w:ascii="Times New Roman"/>
          <w:b w:val="false"/>
          <w:i w:val="false"/>
          <w:color w:val="000000"/>
          <w:sz w:val="28"/>
        </w:rPr>
        <w:t>
      5) клиенттер – металл шоты шартын жасаған жеке және заңды тұлғалар;</w:t>
      </w:r>
    </w:p>
    <w:bookmarkEnd w:id="15"/>
    <w:bookmarkStart w:name="z19" w:id="16"/>
    <w:p>
      <w:pPr>
        <w:spacing w:after="0"/>
        <w:ind w:left="0"/>
        <w:jc w:val="both"/>
      </w:pPr>
      <w:r>
        <w:rPr>
          <w:rFonts w:ascii="Times New Roman"/>
          <w:b w:val="false"/>
          <w:i w:val="false"/>
          <w:color w:val="000000"/>
          <w:sz w:val="28"/>
        </w:rPr>
        <w:t>
      6) металл шоты – банк, Қазақстан Республикасының бейрезидент-банкінің филиалы мен клиент арасында аффинирленген бағалы металдармен операцияларды жүзеге асыру жөніндегі шарттық қатынастарды көрсету тәсілі;</w:t>
      </w:r>
    </w:p>
    <w:bookmarkEnd w:id="16"/>
    <w:bookmarkStart w:name="z20" w:id="17"/>
    <w:p>
      <w:pPr>
        <w:spacing w:after="0"/>
        <w:ind w:left="0"/>
        <w:jc w:val="both"/>
      </w:pPr>
      <w:r>
        <w:rPr>
          <w:rFonts w:ascii="Times New Roman"/>
          <w:b w:val="false"/>
          <w:i w:val="false"/>
          <w:color w:val="000000"/>
          <w:sz w:val="28"/>
        </w:rPr>
        <w:t>
      7) өлшеуіш құйма – Еуразиялық экономикалық одаққа мүше мемлекеттерде өндірілген және Еуразиялық экономикалық одаққа мүше мемлекеттерде белгіленген талаптарға сәйкес келетін не шетелде өндірілген, шығарылған елдің заңнамасына сәйкес дайындалған, таңбаланған және сертификатталған, массасы 1000 грамнан аспайтын және алтын мен күміс үшін бағалы металдың массалық үлесі кемінде 99,99 пайыз және платина мен палладий үшін 99,95 пайыз болатын құйма;</w:t>
      </w:r>
    </w:p>
    <w:bookmarkEnd w:id="17"/>
    <w:bookmarkStart w:name="z21" w:id="18"/>
    <w:p>
      <w:pPr>
        <w:spacing w:after="0"/>
        <w:ind w:left="0"/>
        <w:jc w:val="both"/>
      </w:pPr>
      <w:r>
        <w:rPr>
          <w:rFonts w:ascii="Times New Roman"/>
          <w:b w:val="false"/>
          <w:i w:val="false"/>
          <w:color w:val="000000"/>
          <w:sz w:val="28"/>
        </w:rPr>
        <w:t>
      8) стандартты құйма – тазарту кезеңінен өткен және:</w:t>
      </w:r>
    </w:p>
    <w:bookmarkEnd w:id="18"/>
    <w:p>
      <w:pPr>
        <w:spacing w:after="0"/>
        <w:ind w:left="0"/>
        <w:jc w:val="both"/>
      </w:pPr>
      <w:r>
        <w:rPr>
          <w:rFonts w:ascii="Times New Roman"/>
          <w:b w:val="false"/>
          <w:i w:val="false"/>
          <w:color w:val="000000"/>
          <w:sz w:val="28"/>
        </w:rPr>
        <w:t>
      Еуразиялық экономикалық одаққа мүше мемлекеттерде белгіленген талаптарға не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сәйкес келетін және осы қауымдастықтардың құжаттарында "Лондон сапалы жеткізілімі" ("London good delivery") стандарты ретінде белгіленген, Еуразиялық экономикалық одаққа мүше мемлекеттер өндірген құймалар;</w:t>
      </w:r>
    </w:p>
    <w:p>
      <w:pPr>
        <w:spacing w:after="0"/>
        <w:ind w:left="0"/>
        <w:jc w:val="both"/>
      </w:pPr>
      <w:r>
        <w:rPr>
          <w:rFonts w:ascii="Times New Roman"/>
          <w:b w:val="false"/>
          <w:i w:val="false"/>
          <w:color w:val="000000"/>
          <w:sz w:val="28"/>
        </w:rPr>
        <w:t>
      шығарылған елдің заңнамасына не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сәйкес дайындалған, таңбаланған және сертификатталған және осы қауымдастықтардың құжаттарында "Лондон сапалы жеткізілімі" ("London good delivery") стандарты ретінде белгіленген шет елде өндірілген құймалар түрінде берілген бағалы металл құймасы;</w:t>
      </w:r>
    </w:p>
    <w:bookmarkStart w:name="z22" w:id="19"/>
    <w:p>
      <w:pPr>
        <w:spacing w:after="0"/>
        <w:ind w:left="0"/>
        <w:jc w:val="both"/>
      </w:pPr>
      <w:r>
        <w:rPr>
          <w:rFonts w:ascii="Times New Roman"/>
          <w:b w:val="false"/>
          <w:i w:val="false"/>
          <w:color w:val="000000"/>
          <w:sz w:val="28"/>
        </w:rPr>
        <w:t>
      9) аффинирленген бағалы металдар – өңдеуден өткен және қоспалар мен қосалқы құрамдас бөліктерден тазартылған,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және/немесе Еуразиялық экономикалық одаққа мүше мемлекеттерде белгіленген сапа стандарттары мен талаптарына және/немесе шығарылған елдің сапа стандарттары мен техникалық талаптарына сәйкес келетін сапаға жеткізілген бағалы металдар, сондай-ақ алтын мен күміс үшін бағалы металдың массалық үлесі кемінде 99,99 пайыз болатын бағалы металдардан жасалған монеталар;</w:t>
      </w:r>
    </w:p>
    <w:bookmarkEnd w:id="19"/>
    <w:bookmarkStart w:name="z23" w:id="20"/>
    <w:p>
      <w:pPr>
        <w:spacing w:after="0"/>
        <w:ind w:left="0"/>
        <w:jc w:val="both"/>
      </w:pPr>
      <w:r>
        <w:rPr>
          <w:rFonts w:ascii="Times New Roman"/>
          <w:b w:val="false"/>
          <w:i w:val="false"/>
          <w:color w:val="000000"/>
          <w:sz w:val="28"/>
        </w:rPr>
        <w:t>
      10) таңба – бағалы металл құймасын дайындаушының/өндірушінің белгісі;</w:t>
      </w:r>
    </w:p>
    <w:bookmarkEnd w:id="20"/>
    <w:bookmarkStart w:name="z24" w:id="21"/>
    <w:p>
      <w:pPr>
        <w:spacing w:after="0"/>
        <w:ind w:left="0"/>
        <w:jc w:val="both"/>
      </w:pPr>
      <w:r>
        <w:rPr>
          <w:rFonts w:ascii="Times New Roman"/>
          <w:b w:val="false"/>
          <w:i w:val="false"/>
          <w:color w:val="000000"/>
          <w:sz w:val="28"/>
        </w:rPr>
        <w:t>
      11) химиялық таза масса – қоспаларды есептемегенде бағалы металдың құймадағы массасы.";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6" w:id="22"/>
    <w:p>
      <w:pPr>
        <w:spacing w:after="0"/>
        <w:ind w:left="0"/>
        <w:jc w:val="both"/>
      </w:pPr>
      <w:r>
        <w:rPr>
          <w:rFonts w:ascii="Times New Roman"/>
          <w:b w:val="false"/>
          <w:i w:val="false"/>
          <w:color w:val="000000"/>
          <w:sz w:val="28"/>
        </w:rPr>
        <w:t>
      "2. Банк, Қазақстан Республикасының бейрезидент-банкінің филиалы мен клиент арасында металл шоты шарты жасалған кезде металл шоттары ашылады.";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"4. Клиентпен металл шоты шарты банк, Қазақстан Республикасының бейрезидент-банкінің филиалы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тиісті тексеру жөніндегі шараларды қабылдағаннан кейін жасалады.";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"5. Металл шотты ашу банк, Қазақстан Республикасының бейрезидент-банкінің филиалы белгілеген нысан бойынша клиенттің металл шотын ашу туралы өтінішінің негізінде металл шоттың әр түрі бойынша жеке жүзеге асырылады.</w:t>
      </w:r>
    </w:p>
    <w:bookmarkEnd w:id="24"/>
    <w:bookmarkStart w:name="z31" w:id="25"/>
    <w:p>
      <w:pPr>
        <w:spacing w:after="0"/>
        <w:ind w:left="0"/>
        <w:jc w:val="both"/>
      </w:pPr>
      <w:r>
        <w:rPr>
          <w:rFonts w:ascii="Times New Roman"/>
          <w:b w:val="false"/>
          <w:i w:val="false"/>
          <w:color w:val="000000"/>
          <w:sz w:val="28"/>
        </w:rPr>
        <w:t>
      6. Банк, Қазақстан Республикасының бейрезидент-банкінің филиалы металл шотты ашу туралы өтінішті 3 (үш) жұмыс күні ішінде қарайды.";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"8. Банктер, Қазақстан Республикасының бейрезидент-банкінің филиалдары стандартты және өлшеуіш құймалар, монеталар түрінде және металл шоты шартында көзделген өзге нысандарда аффинирленген бағалы металдармен металл шоттары бойынша операцияларды жүргізеді.";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35" w:id="27"/>
    <w:p>
      <w:pPr>
        <w:spacing w:after="0"/>
        <w:ind w:left="0"/>
        <w:jc w:val="both"/>
      </w:pPr>
      <w:r>
        <w:rPr>
          <w:rFonts w:ascii="Times New Roman"/>
          <w:b w:val="false"/>
          <w:i w:val="false"/>
          <w:color w:val="000000"/>
          <w:sz w:val="28"/>
        </w:rPr>
        <w:t>
      "14. Банк, Қазақстан Республикасының бейрезидент-банкінің филиалы аллокирленген металл шотының шарты бойынша клиентке мынадай қызмет түрлерін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"16. Банк, Қазақстан Республикасының бейрезидент-банкінің филиалы аллокирленген металл шотына клиенттен заттай нысанда қабылдаған аффинирленген бағалы металдар банктің, Қазақстан Республикасының бейрезидент-банкі филиалының меншігі болып табылмайды және банк, Қазақстан Республикасының бейрезидент-банкінің филиалы өз атынан және өз есебінен операцияларды жүзеге асыру үшін орналастырмайды.";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"20. Аллокирленбеген металл шоттары бойынша аффинирленген бағалы металдарды аударумен байланысты операцияларды жүзеге асыру үшін банктер, Қазақстан Республикасының бейрезидент-банкінің филиалы бір-біріне аллокирленбеген металл шоттарын ашады.";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p>
    <w:bookmarkStart w:name="z41" w:id="30"/>
    <w:p>
      <w:pPr>
        <w:spacing w:after="0"/>
        <w:ind w:left="0"/>
        <w:jc w:val="both"/>
      </w:pPr>
      <w:r>
        <w:rPr>
          <w:rFonts w:ascii="Times New Roman"/>
          <w:b w:val="false"/>
          <w:i w:val="false"/>
          <w:color w:val="000000"/>
          <w:sz w:val="28"/>
        </w:rPr>
        <w:t>
      "22. Банк, Қазақстан Республикасының бейрезидент-банкінің филиалы аллокирленбеген металл шотының шарты бойынша клиентке мынадай қызмет түрлерін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3) тармақшасы мынадай редакцияда жазылсын:</w:t>
      </w:r>
    </w:p>
    <w:bookmarkStart w:name="z43" w:id="31"/>
    <w:p>
      <w:pPr>
        <w:spacing w:after="0"/>
        <w:ind w:left="0"/>
        <w:jc w:val="both"/>
      </w:pPr>
      <w:r>
        <w:rPr>
          <w:rFonts w:ascii="Times New Roman"/>
          <w:b w:val="false"/>
          <w:i w:val="false"/>
          <w:color w:val="000000"/>
          <w:sz w:val="28"/>
        </w:rPr>
        <w:t>
      "3) клиентке сатылған немесе банк, Қазақстан Республикасының бейрезидент-банкінің филиалы сатып алған аффинирленген бағалы металдарды есепке алу жолымен жүзеге асырылады.".</w:t>
      </w:r>
    </w:p>
    <w:bookmarkEnd w:id="31"/>
    <w:bookmarkStart w:name="z44" w:id="32"/>
    <w:p>
      <w:pPr>
        <w:spacing w:after="0"/>
        <w:ind w:left="0"/>
        <w:jc w:val="both"/>
      </w:pPr>
      <w:r>
        <w:rPr>
          <w:rFonts w:ascii="Times New Roman"/>
          <w:b w:val="false"/>
          <w:i w:val="false"/>
          <w:color w:val="000000"/>
          <w:sz w:val="28"/>
        </w:rPr>
        <w:t>
      2. Қаржы ұйымдарын дамыту департаменті (Б.М. Иралимов) Қазақстан Республикасының заңнамасында белгіленген тәртіппен:</w:t>
      </w:r>
    </w:p>
    <w:bookmarkEnd w:id="32"/>
    <w:bookmarkStart w:name="z45" w:id="33"/>
    <w:p>
      <w:pPr>
        <w:spacing w:after="0"/>
        <w:ind w:left="0"/>
        <w:jc w:val="both"/>
      </w:pPr>
      <w:r>
        <w:rPr>
          <w:rFonts w:ascii="Times New Roman"/>
          <w:b w:val="false"/>
          <w:i w:val="false"/>
          <w:color w:val="000000"/>
          <w:sz w:val="28"/>
        </w:rPr>
        <w:t>
      1) Заң департаментімен бірлесіп (А.С. Касенов) осы қаулыны Қазақстан Республикасының Әділет министрлігінде мемлекеттік тіркеуді;</w:t>
      </w:r>
    </w:p>
    <w:bookmarkEnd w:id="33"/>
    <w:bookmarkStart w:name="z46" w:id="3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34"/>
    <w:bookmarkStart w:name="z47" w:id="3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35"/>
    <w:bookmarkStart w:name="z48" w:id="3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Б.Ш. Шолпанқұловқа жүктелсін.</w:t>
      </w:r>
    </w:p>
    <w:bookmarkEnd w:id="36"/>
    <w:bookmarkStart w:name="z49" w:id="3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