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86f4" w14:textId="04486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бюджеттер жобаларын әзірлеу қағидаларын бекіту туралы" Қазақстан Республикасы Қаржы министрінің 2014 жылғы 31 қазандағы № 470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18 қарашадағы № 1192 бұйрығы. Қазақстан Республикасының Әділет министрлігінде 2021 жылғы 22 қарашада № 25282 болып тіркелді. Күші жойылды - Қазақстан Республикасы Қаржы министрінің 2025 жылғы 29 сәуірдегі № 208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"Жергілікті бюджеттер жобаларын әзірлеу қағидаларын бекіту туралы" Қазақстан Республикасы Қаржы министрінің 2014 жылғы 31 қазандағы № 470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9950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Бюджет кодексі 64-бабының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Жергілікті бюджеттер жобаларын әзірлеу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Жергілікті бюджеттер жобаларын әзірлеу қағидалары (бұдан әрі – Қағидалар)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әзірленді және жергілікті бюджеттердің жобаларын әзірлеу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14-5-тармағы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"14-5. Тұрғындардың жобалық ұсыныстарын іске асыруға бағытталатын шығыстардың ең төмен көлемі:</w:t>
      </w:r>
    </w:p>
    <w:bookmarkEnd w:id="5"/>
    <w:p>
      <w:pPr>
        <w:spacing w:after="0"/>
        <w:ind w:left="0"/>
        <w:jc w:val="both"/>
      </w:pPr>
      <w:r>
        <w:rPr>
          <w:rFonts w:ascii="Times New Roman"/>
          <w:b w:val="false"/>
          <w:i w:val="false"/>
          <w:color w:val="000000"/>
          <w:sz w:val="28"/>
        </w:rPr>
        <w:t>
      1) жоғары тұрған бюджеттен берілетін нысаналы трансферттерді қоспағанда, республикалық маңызы бар қаладағы, астанадағы аудандар үшін 07 "Тұрғын үй-коммуналдық шаруашылық" функционалдық тобы бойынша жоспарланатын қала бюджеті шығыстарының жылдық көлемінің 5%-ынан төмен;</w:t>
      </w:r>
    </w:p>
    <w:p>
      <w:pPr>
        <w:spacing w:after="0"/>
        <w:ind w:left="0"/>
        <w:jc w:val="both"/>
      </w:pPr>
      <w:r>
        <w:rPr>
          <w:rFonts w:ascii="Times New Roman"/>
          <w:b w:val="false"/>
          <w:i w:val="false"/>
          <w:color w:val="000000"/>
          <w:sz w:val="28"/>
        </w:rPr>
        <w:t>
      2) жоғары тұрған бюджеттен берілетін нысаналы трансферттерді қоспағанда, облыстық маңызы бар қала үшін және (немесе) облыстық маңызы бар қаладағы аудан үшін 07 "Тұрғын үй-коммуналдық шаруашылық" функционалдық тобы бойынша жоспарланатын қала бюджеті шығыстарының жылдық көлемінің 10%-ынан төмен болмауы тиіс.</w:t>
      </w:r>
    </w:p>
    <w:p>
      <w:pPr>
        <w:spacing w:after="0"/>
        <w:ind w:left="0"/>
        <w:jc w:val="both"/>
      </w:pPr>
      <w:r>
        <w:rPr>
          <w:rFonts w:ascii="Times New Roman"/>
          <w:b w:val="false"/>
          <w:i w:val="false"/>
          <w:color w:val="000000"/>
          <w:sz w:val="28"/>
        </w:rPr>
        <w:t>
      Беру кезінде бір жобалық ұсынысты іске асырудың шекті құны:</w:t>
      </w:r>
    </w:p>
    <w:p>
      <w:pPr>
        <w:spacing w:after="0"/>
        <w:ind w:left="0"/>
        <w:jc w:val="both"/>
      </w:pPr>
      <w:r>
        <w:rPr>
          <w:rFonts w:ascii="Times New Roman"/>
          <w:b w:val="false"/>
          <w:i w:val="false"/>
          <w:color w:val="000000"/>
          <w:sz w:val="28"/>
        </w:rPr>
        <w:t>
      1) республикалық маңызы бар қаладағы, астанадағы аудан үшін ағымдағы қаржы жылына арналған республикалық бюджет туралы заңда белгіленген жиырма мың еселенген айлық есептік көрсеткіш мөлшерінен;</w:t>
      </w:r>
    </w:p>
    <w:p>
      <w:pPr>
        <w:spacing w:after="0"/>
        <w:ind w:left="0"/>
        <w:jc w:val="both"/>
      </w:pPr>
      <w:r>
        <w:rPr>
          <w:rFonts w:ascii="Times New Roman"/>
          <w:b w:val="false"/>
          <w:i w:val="false"/>
          <w:color w:val="000000"/>
          <w:sz w:val="28"/>
        </w:rPr>
        <w:t>
      2) облыстық маңызы бар қала үшін және (немесе) облыстық маңызы бар қаладағы аудан үшін ағымдағы қаржы жылына арналған республикалық бюджет туралы заңда белгіленген айлық есептік көрсеткіштің он мың еселенген мөлшерінен аспауы тиіс.".</w:t>
      </w:r>
    </w:p>
    <w:bookmarkStart w:name="z10" w:id="6"/>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2" w:id="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8"/>
    <w:bookmarkStart w:name="z13" w:id="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9"/>
    <w:bookmarkStart w:name="z14"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