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2ba9" w14:textId="36d2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"Биоәртүрлілік шығынының орнын толтыруды орындау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19 мамырдағы № 151 бұйрығы. Қазақстан Республикасының Әділет министрлігінде 2021 жылғы 28 мамырда № 22849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2021 жылғы 2 қаңтардағы Экология Кодексінің 241-бабының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Биоәртүрлілік шығынының орнын толтыруды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күшіне енеді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19 мамырдағы</w:t>
            </w:r>
            <w:r>
              <w:br/>
            </w:r>
            <w:r>
              <w:rPr>
                <w:rFonts w:ascii="Times New Roman"/>
                <w:b w:val="false"/>
                <w:i w:val="false"/>
                <w:color w:val="000000"/>
                <w:sz w:val="20"/>
              </w:rPr>
              <w:t>№ 151 Бұйрыққа қосымша</w:t>
            </w:r>
          </w:p>
        </w:tc>
      </w:tr>
    </w:tbl>
    <w:bookmarkStart w:name="z9" w:id="7"/>
    <w:p>
      <w:pPr>
        <w:spacing w:after="0"/>
        <w:ind w:left="0"/>
        <w:jc w:val="left"/>
      </w:pPr>
      <w:r>
        <w:rPr>
          <w:rFonts w:ascii="Times New Roman"/>
          <w:b/>
          <w:i w:val="false"/>
          <w:color w:val="000000"/>
        </w:rPr>
        <w:t xml:space="preserve"> Биоәртүрлілік шығынының орнын толтыруды орындау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биортүрлілік шығынының орнын толтыруды орындау қағидалары (бұдан әрі – Қағидалар) Қазақстан Республикасының 2021 жылғы 2 қаңтардағы Экология Кодексінің (бұдан әрі – Экология кодекс) 241-бабының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биологиялық әртүрлілік шығынының орнын толтыру жөніндегі іс-шараларды орындау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биологиялық әртүрлілік – (бұдан әрі – биоәртүрлілік) - тірі организмдердің барлық көздерден, оның ішінде жер үсті, теңіз және өзге де су экожүйелері мен экологиялық кешендердің бір бөлігі болып табылатын және түр шеңберіндегі, түрлер арасындағы әртүрлілікті және экожүйелердің әртүрлілігін қамтитын құбылмалылығы;</w:t>
      </w:r>
    </w:p>
    <w:p>
      <w:pPr>
        <w:spacing w:after="0"/>
        <w:ind w:left="0"/>
        <w:jc w:val="both"/>
      </w:pPr>
      <w:r>
        <w:rPr>
          <w:rFonts w:ascii="Times New Roman"/>
          <w:b w:val="false"/>
          <w:i w:val="false"/>
          <w:color w:val="000000"/>
          <w:sz w:val="28"/>
        </w:rPr>
        <w:t>
      2) экологиялық жүйе (бұдан әрі – Экожүйе) – бірыңғай функционалдық тұтастық ретінде өзара іс-қимыл жасайтын және кеңістік-аумақтық шекаралары бар, өзара зат пен энергия алмасумен байланысты өсімдіктер, жануарлар және өзге де организмдер қоғамдастықтарының, олар мекендейтін жансыз ортаның объективті түрде қолда бар бөлігі болып табылатын серпінді кешені;</w:t>
      </w:r>
    </w:p>
    <w:p>
      <w:pPr>
        <w:spacing w:after="0"/>
        <w:ind w:left="0"/>
        <w:jc w:val="both"/>
      </w:pPr>
      <w:r>
        <w:rPr>
          <w:rFonts w:ascii="Times New Roman"/>
          <w:b w:val="false"/>
          <w:i w:val="false"/>
          <w:color w:val="000000"/>
          <w:sz w:val="28"/>
        </w:rPr>
        <w:t>
      3) мекендеу ортасы – белгілі бір организмнің немесе популяцияның табиғи мекендейтін жерінің типі немесе орны;</w:t>
      </w:r>
    </w:p>
    <w:p>
      <w:pPr>
        <w:spacing w:after="0"/>
        <w:ind w:left="0"/>
        <w:jc w:val="both"/>
      </w:pPr>
      <w:r>
        <w:rPr>
          <w:rFonts w:ascii="Times New Roman"/>
          <w:b w:val="false"/>
          <w:i w:val="false"/>
          <w:color w:val="000000"/>
          <w:sz w:val="28"/>
        </w:rPr>
        <w:t xml:space="preserve">
      4) биоәртүрліліктің жоғалуы – Экология кодексінің 10-бабының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антропогендік әсерлер нәтижесінде белгілі бір аумақта (акваторияда) өсімдіктер және (немесе) жануарлар дүниесі түрлерінің популяциясының жойылып кетуі немесе айтарлықтай азаюы;</w:t>
      </w:r>
    </w:p>
    <w:p>
      <w:pPr>
        <w:spacing w:after="0"/>
        <w:ind w:left="0"/>
        <w:jc w:val="both"/>
      </w:pPr>
      <w:r>
        <w:rPr>
          <w:rFonts w:ascii="Times New Roman"/>
          <w:b w:val="false"/>
          <w:i w:val="false"/>
          <w:color w:val="000000"/>
          <w:sz w:val="28"/>
        </w:rPr>
        <w:t xml:space="preserve">
      5) стратегиялық экологиялық бағалау құжаттары (бұдан әрі – Құжаттар) Экологиялық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 аумақтарды дамыту Бағдарламалары және елді мекендердің бас жоспарлары;</w:t>
      </w:r>
    </w:p>
    <w:p>
      <w:pPr>
        <w:spacing w:after="0"/>
        <w:ind w:left="0"/>
        <w:jc w:val="both"/>
      </w:pPr>
      <w:r>
        <w:rPr>
          <w:rFonts w:ascii="Times New Roman"/>
          <w:b w:val="false"/>
          <w:i w:val="false"/>
          <w:color w:val="000000"/>
          <w:sz w:val="28"/>
        </w:rPr>
        <w:t>
      6) қоршаған ортаға әсерді бағалау-көзделіп отырған қызметті іске асыру кезінде қоршаған ортаға ықтимал елеулі әсерлерді тиісті зерттеулер негізінде анықтау, зерделеу, сипаттау және бағалау процесі;</w:t>
      </w:r>
    </w:p>
    <w:p>
      <w:pPr>
        <w:spacing w:after="0"/>
        <w:ind w:left="0"/>
        <w:jc w:val="both"/>
      </w:pPr>
      <w:r>
        <w:rPr>
          <w:rFonts w:ascii="Times New Roman"/>
          <w:b w:val="false"/>
          <w:i w:val="false"/>
          <w:color w:val="000000"/>
          <w:sz w:val="28"/>
        </w:rPr>
        <w:t>
      7) көзделіп отырған қызмет – жеке және заңды тұлғалардың (бұдан әрі – қызметті жүзеге асырауға ниеттенген тұлға) өндірістік және өзге де объектілерді салумен және одан әрі пайдаланумен, қоршаған ортаға өзге де түрде араласумен, оның ішінде жер қойнауын пайдалану жөніндегі операцияларды жүргізу жолымен, сондай-ақ осындай қызметке елеулі өзгерістер енгізумен байланысты жоспарланып отырған қызметі.</w:t>
      </w:r>
    </w:p>
    <w:bookmarkStart w:name="z13" w:id="11"/>
    <w:p>
      <w:pPr>
        <w:spacing w:after="0"/>
        <w:ind w:left="0"/>
        <w:jc w:val="left"/>
      </w:pPr>
      <w:r>
        <w:rPr>
          <w:rFonts w:ascii="Times New Roman"/>
          <w:b/>
          <w:i w:val="false"/>
          <w:color w:val="000000"/>
        </w:rPr>
        <w:t xml:space="preserve"> 2-тарау. Биоәртүрліліктің жоғалуын өтеу жөніндегі іс-шараларды жоспарлау</w:t>
      </w:r>
    </w:p>
    <w:bookmarkEnd w:id="11"/>
    <w:bookmarkStart w:name="z14" w:id="12"/>
    <w:p>
      <w:pPr>
        <w:spacing w:after="0"/>
        <w:ind w:left="0"/>
        <w:jc w:val="both"/>
      </w:pPr>
      <w:r>
        <w:rPr>
          <w:rFonts w:ascii="Times New Roman"/>
          <w:b w:val="false"/>
          <w:i w:val="false"/>
          <w:color w:val="000000"/>
          <w:sz w:val="28"/>
        </w:rPr>
        <w:t>
      3. Биоәртүрліліктің жоғалуын өтеу жөніндегі іс – шараларды орындау жөніндегі бағдарлама (бұдан әрі – Бағдарлама) мынадай жағдайларда әзірленуге тиіс:</w:t>
      </w:r>
    </w:p>
    <w:bookmarkEnd w:id="12"/>
    <w:p>
      <w:pPr>
        <w:spacing w:after="0"/>
        <w:ind w:left="0"/>
        <w:jc w:val="both"/>
      </w:pPr>
      <w:r>
        <w:rPr>
          <w:rFonts w:ascii="Times New Roman"/>
          <w:b w:val="false"/>
          <w:i w:val="false"/>
          <w:color w:val="000000"/>
          <w:sz w:val="28"/>
        </w:rPr>
        <w:t>
      1) стратегиялық экологиялық бағалау жөніндегі есепте Биоәртүрлілікті жоғалту тәуекелін сәйкестендіру;</w:t>
      </w:r>
    </w:p>
    <w:p>
      <w:pPr>
        <w:spacing w:after="0"/>
        <w:ind w:left="0"/>
        <w:jc w:val="both"/>
      </w:pPr>
      <w:r>
        <w:rPr>
          <w:rFonts w:ascii="Times New Roman"/>
          <w:b w:val="false"/>
          <w:i w:val="false"/>
          <w:color w:val="000000"/>
          <w:sz w:val="28"/>
        </w:rPr>
        <w:t>
      2) ықтимал әсерлер туралы есепте Биоәртүрлілікті жоғалту қаупін анықтау;</w:t>
      </w:r>
    </w:p>
    <w:p>
      <w:pPr>
        <w:spacing w:after="0"/>
        <w:ind w:left="0"/>
        <w:jc w:val="both"/>
      </w:pPr>
      <w:r>
        <w:rPr>
          <w:rFonts w:ascii="Times New Roman"/>
          <w:b w:val="false"/>
          <w:i w:val="false"/>
          <w:color w:val="000000"/>
          <w:sz w:val="28"/>
        </w:rPr>
        <w:t>
      3) құжатты іске асыру процесінде және (немесе) нәтижесінде Биоәртүрлілікті жоғалту фактісін анықтау;</w:t>
      </w:r>
    </w:p>
    <w:p>
      <w:pPr>
        <w:spacing w:after="0"/>
        <w:ind w:left="0"/>
        <w:jc w:val="both"/>
      </w:pPr>
      <w:r>
        <w:rPr>
          <w:rFonts w:ascii="Times New Roman"/>
          <w:b w:val="false"/>
          <w:i w:val="false"/>
          <w:color w:val="000000"/>
          <w:sz w:val="28"/>
        </w:rPr>
        <w:t>
      4) көзделген қызметті іске асыру процесінде және (немесе) нәтижесінде биоалуантүрлілікті жоғалту фактісін анықтау мақсатында жүргізіледі.</w:t>
      </w:r>
    </w:p>
    <w:bookmarkStart w:name="z15" w:id="13"/>
    <w:p>
      <w:pPr>
        <w:spacing w:after="0"/>
        <w:ind w:left="0"/>
        <w:jc w:val="both"/>
      </w:pPr>
      <w:r>
        <w:rPr>
          <w:rFonts w:ascii="Times New Roman"/>
          <w:b w:val="false"/>
          <w:i w:val="false"/>
          <w:color w:val="000000"/>
          <w:sz w:val="28"/>
        </w:rPr>
        <w:t>
      4. Бағдарлама жобасы келесі мерзімдерде әзірленеді:</w:t>
      </w:r>
    </w:p>
    <w:bookmarkEnd w:id="13"/>
    <w:p>
      <w:pPr>
        <w:spacing w:after="0"/>
        <w:ind w:left="0"/>
        <w:jc w:val="both"/>
      </w:pPr>
      <w:r>
        <w:rPr>
          <w:rFonts w:ascii="Times New Roman"/>
          <w:b w:val="false"/>
          <w:i w:val="false"/>
          <w:color w:val="000000"/>
          <w:sz w:val="28"/>
        </w:rPr>
        <w:t>
      1) осы Қағидалардың 3-тармағының 1) тармақшасында көзделген жағдайларда қоршаған ортаны қорғау саласындағы уәкілетті орган стратегиялық экологиялық бағалау жөніндегі есептің қанағаттанарлық сапасы туралы қорытынды шығарғаннан кейін күнтізбелік бір жыл ішінде;</w:t>
      </w:r>
    </w:p>
    <w:p>
      <w:pPr>
        <w:spacing w:after="0"/>
        <w:ind w:left="0"/>
        <w:jc w:val="both"/>
      </w:pPr>
      <w:r>
        <w:rPr>
          <w:rFonts w:ascii="Times New Roman"/>
          <w:b w:val="false"/>
          <w:i w:val="false"/>
          <w:color w:val="000000"/>
          <w:sz w:val="28"/>
        </w:rPr>
        <w:t>
      2) осы Қағидалардың 3-тармағының 2) тармақшасында көзделген жағдайларда қоршаған ортаны қорғау саласындағы уәкілетті орган қорытындыда көрсетілген шарттар сақталған кезде көзделіп отырған қызметті іске асыруға жол беру туралы тұжырымды қамтитын қоршаған ортаға әсерді бағалау нәтижелері бойынша қорытынды шығарғаннан кейін күнтізбелік бір ай ішінде;</w:t>
      </w:r>
    </w:p>
    <w:p>
      <w:pPr>
        <w:spacing w:after="0"/>
        <w:ind w:left="0"/>
        <w:jc w:val="both"/>
      </w:pPr>
      <w:r>
        <w:rPr>
          <w:rFonts w:ascii="Times New Roman"/>
          <w:b w:val="false"/>
          <w:i w:val="false"/>
          <w:color w:val="000000"/>
          <w:sz w:val="28"/>
        </w:rPr>
        <w:t>
      3) осы Қағидалардың 3-тармағының 3) және 4) тармақшаларында көзделген жағдайларда, мемлекеттік экологиялық бақылау шеңберінде шығарылған Қазақстан Республикасының экологиялық заңнамасының талаптарын бұзушылықты жою туралы нұсқамада айқындалған мерзімде жүзеге асырылады.</w:t>
      </w:r>
    </w:p>
    <w:bookmarkStart w:name="z16" w:id="14"/>
    <w:p>
      <w:pPr>
        <w:spacing w:after="0"/>
        <w:ind w:left="0"/>
        <w:jc w:val="both"/>
      </w:pPr>
      <w:r>
        <w:rPr>
          <w:rFonts w:ascii="Times New Roman"/>
          <w:b w:val="false"/>
          <w:i w:val="false"/>
          <w:color w:val="000000"/>
          <w:sz w:val="28"/>
        </w:rPr>
        <w:t>
      5. Бағдарламаның жобасын әзірлеу аяқталғаннан кейін бір жұмыс күні ішінде бағдарламаның жобасын әзірлеген тұлға қоршаған ортаны қорғау саласындағы уәкілетті органға қағаз жеткізгіште немесе "электрондық үкіметтің" ақпараттық-коммуникациялық инфрақұрылымы арқылы не осы мақсаттар үшін қоршаған ортаны қорғау саласындағы уәкілетті орган айқындаған ақпараттық-коммуникациялық инфрақұрылым арқылы электрондық нысанда жібереді:</w:t>
      </w:r>
    </w:p>
    <w:bookmarkEnd w:id="14"/>
    <w:p>
      <w:pPr>
        <w:spacing w:after="0"/>
        <w:ind w:left="0"/>
        <w:jc w:val="both"/>
      </w:pPr>
      <w:r>
        <w:rPr>
          <w:rFonts w:ascii="Times New Roman"/>
          <w:b w:val="false"/>
          <w:i w:val="false"/>
          <w:color w:val="000000"/>
          <w:sz w:val="28"/>
        </w:rPr>
        <w:t>
      1) осы Қағидалардың 3-тармағына сәйкес бағдарламаны әзірлеу негіздері туралы мәліметтерді, сондай-ақ қоғамдық тыңдауларды өткізудің ұсынылатын әдісін (орнын), өткізудің басталу күні мен уақытын қамтитын еркін нысанда жасалған ілеспе хат;</w:t>
      </w:r>
    </w:p>
    <w:p>
      <w:pPr>
        <w:spacing w:after="0"/>
        <w:ind w:left="0"/>
        <w:jc w:val="both"/>
      </w:pPr>
      <w:r>
        <w:rPr>
          <w:rFonts w:ascii="Times New Roman"/>
          <w:b w:val="false"/>
          <w:i w:val="false"/>
          <w:color w:val="000000"/>
          <w:sz w:val="28"/>
        </w:rPr>
        <w:t>
      2) осы Қағидалардың талаптарын ескере отырып жасалған бағдарлама жобасы.</w:t>
      </w:r>
    </w:p>
    <w:bookmarkStart w:name="z17" w:id="15"/>
    <w:p>
      <w:pPr>
        <w:spacing w:after="0"/>
        <w:ind w:left="0"/>
        <w:jc w:val="both"/>
      </w:pPr>
      <w:r>
        <w:rPr>
          <w:rFonts w:ascii="Times New Roman"/>
          <w:b w:val="false"/>
          <w:i w:val="false"/>
          <w:color w:val="000000"/>
          <w:sz w:val="28"/>
        </w:rPr>
        <w:t>
      6. Қоршаған ортаны қорғау саласындағы уәкілетті орган осы Қағидалардың 5-тармағында көрсетілген құжаттарды алғаннан кейін екі жұмыс күні ішінде қоғамдық тыңдаулар өткізу туралы хабарландырумен бірге бағдарламаның жобасын ресми интернет-ресурста орналастырады.</w:t>
      </w:r>
    </w:p>
    <w:bookmarkEnd w:id="15"/>
    <w:bookmarkStart w:name="z18" w:id="16"/>
    <w:p>
      <w:pPr>
        <w:spacing w:after="0"/>
        <w:ind w:left="0"/>
        <w:jc w:val="both"/>
      </w:pPr>
      <w:r>
        <w:rPr>
          <w:rFonts w:ascii="Times New Roman"/>
          <w:b w:val="false"/>
          <w:i w:val="false"/>
          <w:color w:val="000000"/>
          <w:sz w:val="28"/>
        </w:rPr>
        <w:t>
      7. Бағдарламаның жобасы бойынша қоғамдық тыңдаулар қоршаған ортаны қорғау саласындағы уәкілетті орган бекіткен Қоғамдық тыңдауларды өткізу қағидаларына сәйкес өткізіледі.</w:t>
      </w:r>
    </w:p>
    <w:bookmarkEnd w:id="16"/>
    <w:bookmarkStart w:name="z19" w:id="17"/>
    <w:p>
      <w:pPr>
        <w:spacing w:after="0"/>
        <w:ind w:left="0"/>
        <w:jc w:val="both"/>
      </w:pPr>
      <w:r>
        <w:rPr>
          <w:rFonts w:ascii="Times New Roman"/>
          <w:b w:val="false"/>
          <w:i w:val="false"/>
          <w:color w:val="000000"/>
          <w:sz w:val="28"/>
        </w:rPr>
        <w:t>
      8. Қоршаған ортаны қорғау саласындағы уәкілетті орган жұртшылықтың ескертулері мен ұсыныстарын жоюдан немесе есепке алудан негізсіз жалтарған жағдайда, сондай-ақ сараптама комиссиясы отырысының хаттамасында көрсетілген теріс қорытынды алынған жағдайда бағдарламаны келісуден бас тартады.</w:t>
      </w:r>
    </w:p>
    <w:bookmarkEnd w:id="17"/>
    <w:bookmarkStart w:name="z20" w:id="18"/>
    <w:p>
      <w:pPr>
        <w:spacing w:after="0"/>
        <w:ind w:left="0"/>
        <w:jc w:val="left"/>
      </w:pPr>
      <w:r>
        <w:rPr>
          <w:rFonts w:ascii="Times New Roman"/>
          <w:b/>
          <w:i w:val="false"/>
          <w:color w:val="000000"/>
        </w:rPr>
        <w:t xml:space="preserve"> 3-тарау. Биоәртүрліліктің жоғалуын өтеу жөніндегі іс-шаралар және оларды орындау тәртібі</w:t>
      </w:r>
    </w:p>
    <w:bookmarkEnd w:id="18"/>
    <w:bookmarkStart w:name="z21" w:id="19"/>
    <w:p>
      <w:pPr>
        <w:spacing w:after="0"/>
        <w:ind w:left="0"/>
        <w:jc w:val="both"/>
      </w:pPr>
      <w:r>
        <w:rPr>
          <w:rFonts w:ascii="Times New Roman"/>
          <w:b w:val="false"/>
          <w:i w:val="false"/>
          <w:color w:val="000000"/>
          <w:sz w:val="28"/>
        </w:rPr>
        <w:t>
      9. Биоәртүрліліктің жоғалуын өтеу биоәртүрліліктің тұрақты және ұзақ мерзімді өсуіне бағытталған және келесі түрде жүзеге асырылады:</w:t>
      </w:r>
    </w:p>
    <w:bookmarkEnd w:id="19"/>
    <w:p>
      <w:pPr>
        <w:spacing w:after="0"/>
        <w:ind w:left="0"/>
        <w:jc w:val="both"/>
      </w:pPr>
      <w:r>
        <w:rPr>
          <w:rFonts w:ascii="Times New Roman"/>
          <w:b w:val="false"/>
          <w:i w:val="false"/>
          <w:color w:val="000000"/>
          <w:sz w:val="28"/>
        </w:rPr>
        <w:t>
      1) жүзеге асырылған қызмет нәтижесінде жоғалған Биоәртүрлілікті қалпына келтіру;</w:t>
      </w:r>
    </w:p>
    <w:p>
      <w:pPr>
        <w:spacing w:after="0"/>
        <w:ind w:left="0"/>
        <w:jc w:val="both"/>
      </w:pPr>
      <w:r>
        <w:rPr>
          <w:rFonts w:ascii="Times New Roman"/>
          <w:b w:val="false"/>
          <w:i w:val="false"/>
          <w:color w:val="000000"/>
          <w:sz w:val="28"/>
        </w:rPr>
        <w:t>
      2) ғылыми зерттеулер нәтижелері негізінде қоршаған орта үшін осындай биоәртүрліліктің неғұрлым маңызды мәні бар сол аумақта және (немесе) басқа аумақта биоәртүрлілік түрінің бірдей немесе басқасын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Экология және табиғи ресурстар министрінің 15.10.2025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Биоәртүрліліктің жоғалуын өтеу жөніндегі іс-шараларды айқындау және бағдарламаны әзірлеу кезінде Биоәртүрлілікті сақтаудың мынадай қағидаттары пайдаланылады:</w:t>
      </w:r>
    </w:p>
    <w:bookmarkEnd w:id="20"/>
    <w:p>
      <w:pPr>
        <w:spacing w:after="0"/>
        <w:ind w:left="0"/>
        <w:jc w:val="both"/>
      </w:pPr>
      <w:r>
        <w:rPr>
          <w:rFonts w:ascii="Times New Roman"/>
          <w:b w:val="false"/>
          <w:i w:val="false"/>
          <w:color w:val="000000"/>
          <w:sz w:val="28"/>
        </w:rPr>
        <w:t>
      1) организмдердің сақталуын және олардың көбеюін, сондай-ақ генотиптердің сақталуын қамтамасыз ететін организм;</w:t>
      </w:r>
    </w:p>
    <w:p>
      <w:pPr>
        <w:spacing w:after="0"/>
        <w:ind w:left="0"/>
        <w:jc w:val="both"/>
      </w:pPr>
      <w:r>
        <w:rPr>
          <w:rFonts w:ascii="Times New Roman"/>
          <w:b w:val="false"/>
          <w:i w:val="false"/>
          <w:color w:val="000000"/>
          <w:sz w:val="28"/>
        </w:rPr>
        <w:t>
      2) популяция саны мен мекендеу орындарын сақтауды және қалпына келтіруді қамтамасыз ететін популяциялық популяция олардың денсаулығын сақтауға, популяция ішіндегі генетикалық әртүрлілікті және популяция ішіндегі құрылым элементтерінің әртүрлілігін, сондай-ақ популяцияның бірегейлігін сақтауға мүмкіндік береді;</w:t>
      </w:r>
    </w:p>
    <w:p>
      <w:pPr>
        <w:spacing w:after="0"/>
        <w:ind w:left="0"/>
        <w:jc w:val="both"/>
      </w:pPr>
      <w:r>
        <w:rPr>
          <w:rFonts w:ascii="Times New Roman"/>
          <w:b w:val="false"/>
          <w:i w:val="false"/>
          <w:color w:val="000000"/>
          <w:sz w:val="28"/>
        </w:rPr>
        <w:t>
      3) түрлердің саны мен ареалдарын, түрлердің кеңістіктік-генетикалық популяциялық құрылымын және популяциялар мен түрішілік формалардың алуан түрлілігін сақтауға және қалпына келтіруге мүмкіндік беретін түр;</w:t>
      </w:r>
    </w:p>
    <w:p>
      <w:pPr>
        <w:spacing w:after="0"/>
        <w:ind w:left="0"/>
        <w:jc w:val="both"/>
      </w:pPr>
      <w:r>
        <w:rPr>
          <w:rFonts w:ascii="Times New Roman"/>
          <w:b w:val="false"/>
          <w:i w:val="false"/>
          <w:color w:val="000000"/>
          <w:sz w:val="28"/>
        </w:rPr>
        <w:t>
      4) биоценотикалық, табиғи қауымдастықтарды, олардың түрлері мен функционалды әртүрлілігін сақтауға және қалпына келтіруге, сондай-ақ қауымдастықтардың қалыптасуының табиғи процестерін қолдауға ықпал етеді;</w:t>
      </w:r>
    </w:p>
    <w:p>
      <w:pPr>
        <w:spacing w:after="0"/>
        <w:ind w:left="0"/>
        <w:jc w:val="both"/>
      </w:pPr>
      <w:r>
        <w:rPr>
          <w:rFonts w:ascii="Times New Roman"/>
          <w:b w:val="false"/>
          <w:i w:val="false"/>
          <w:color w:val="000000"/>
          <w:sz w:val="28"/>
        </w:rPr>
        <w:t>
      5) табиғи экожүйелер мен экологиялық теңдестірілген табиғи-мәдени кешендерді сақтау мен қалпына келтіруді және олардың дамуының табиғи процестерін қолдауды қамтамасыз ететін экожүйе;</w:t>
      </w:r>
    </w:p>
    <w:p>
      <w:pPr>
        <w:spacing w:after="0"/>
        <w:ind w:left="0"/>
        <w:jc w:val="both"/>
      </w:pPr>
      <w:r>
        <w:rPr>
          <w:rFonts w:ascii="Times New Roman"/>
          <w:b w:val="false"/>
          <w:i w:val="false"/>
          <w:color w:val="000000"/>
          <w:sz w:val="28"/>
        </w:rPr>
        <w:t>
      6) аумақтық, табиғи экожүйелердің аумақтық кешендерін, олардың аумақтық кешен шегіндегі алуан түрлілігі мен кеңістіктік құрылымын сақтауға, сондай-ақ экологиялық теңдестірілген табиғи-мәдени кешендердің алуан түрлілігін сақтауға бағытталған;</w:t>
      </w:r>
    </w:p>
    <w:p>
      <w:pPr>
        <w:spacing w:after="0"/>
        <w:ind w:left="0"/>
        <w:jc w:val="both"/>
      </w:pPr>
      <w:r>
        <w:rPr>
          <w:rFonts w:ascii="Times New Roman"/>
          <w:b w:val="false"/>
          <w:i w:val="false"/>
          <w:color w:val="000000"/>
          <w:sz w:val="28"/>
        </w:rPr>
        <w:t>
      7) Биосфера, биосфераның сақталуын, жаһандық түрлердің әртүрлілігін және экожүйелердің Ғаламдық әртүрлілігін қамтамасыз етеді.</w:t>
      </w:r>
    </w:p>
    <w:bookmarkStart w:name="z23" w:id="21"/>
    <w:p>
      <w:pPr>
        <w:spacing w:after="0"/>
        <w:ind w:left="0"/>
        <w:jc w:val="both"/>
      </w:pPr>
      <w:r>
        <w:rPr>
          <w:rFonts w:ascii="Times New Roman"/>
          <w:b w:val="false"/>
          <w:i w:val="false"/>
          <w:color w:val="000000"/>
          <w:sz w:val="28"/>
        </w:rPr>
        <w:t>
      11. Бағдарламаға енгізілетін биоәртүрліліктің жоғалуын өтеу жөніндегі іс-шаралар мынадай талаптарға сәйкес келеді:</w:t>
      </w:r>
    </w:p>
    <w:bookmarkEnd w:id="21"/>
    <w:p>
      <w:pPr>
        <w:spacing w:after="0"/>
        <w:ind w:left="0"/>
        <w:jc w:val="both"/>
      </w:pPr>
      <w:r>
        <w:rPr>
          <w:rFonts w:ascii="Times New Roman"/>
          <w:b w:val="false"/>
          <w:i w:val="false"/>
          <w:color w:val="000000"/>
          <w:sz w:val="28"/>
        </w:rPr>
        <w:t>
      1) ұсынылатын ұйымдастырушылық және техникалық (технологиялық) шешімдердің ғылыми негізділігі;</w:t>
      </w:r>
    </w:p>
    <w:p>
      <w:pPr>
        <w:spacing w:after="0"/>
        <w:ind w:left="0"/>
        <w:jc w:val="both"/>
      </w:pPr>
      <w:r>
        <w:rPr>
          <w:rFonts w:ascii="Times New Roman"/>
          <w:b w:val="false"/>
          <w:i w:val="false"/>
          <w:color w:val="000000"/>
          <w:sz w:val="28"/>
        </w:rPr>
        <w:t>
      2) осындай іс-шараны орындау нәтижесінде қоршаған ортаға, экожүйелерге және биоәртүрлілікке залал келтірудің ең аз ықтималдығы;</w:t>
      </w:r>
    </w:p>
    <w:p>
      <w:pPr>
        <w:spacing w:after="0"/>
        <w:ind w:left="0"/>
        <w:jc w:val="both"/>
      </w:pPr>
      <w:r>
        <w:rPr>
          <w:rFonts w:ascii="Times New Roman"/>
          <w:b w:val="false"/>
          <w:i w:val="false"/>
          <w:color w:val="000000"/>
          <w:sz w:val="28"/>
        </w:rPr>
        <w:t>
      3) пайдаланылатын ұйымдастырушылық шешімдердің, ресурстардың, материалдардың, заттар мен құралдардың заңдылығы;</w:t>
      </w:r>
    </w:p>
    <w:p>
      <w:pPr>
        <w:spacing w:after="0"/>
        <w:ind w:left="0"/>
        <w:jc w:val="both"/>
      </w:pPr>
      <w:r>
        <w:rPr>
          <w:rFonts w:ascii="Times New Roman"/>
          <w:b w:val="false"/>
          <w:i w:val="false"/>
          <w:color w:val="000000"/>
          <w:sz w:val="28"/>
        </w:rPr>
        <w:t>
      4) іс-шараларды орындау процесін аудио-және бейнетіркеуді қоса алғанда, пайдаланылған ресурстардың, материалдардың, заттар мен құралдардың сапалық және сандық сипаттамаларын құжаттамалық растау мүмкіндігі.</w:t>
      </w:r>
    </w:p>
    <w:bookmarkStart w:name="z24" w:id="22"/>
    <w:p>
      <w:pPr>
        <w:spacing w:after="0"/>
        <w:ind w:left="0"/>
        <w:jc w:val="both"/>
      </w:pPr>
      <w:r>
        <w:rPr>
          <w:rFonts w:ascii="Times New Roman"/>
          <w:b w:val="false"/>
          <w:i w:val="false"/>
          <w:color w:val="000000"/>
          <w:sz w:val="28"/>
        </w:rPr>
        <w:t>
      12. Жүзеге асырылған қызмет нәтижесінде жоғалған Биоәртүрлілікті қалпына келтіру биологиялық жүйенің осы компоненттері бұрын болған аумақта биологиялық жүйенің жоғалған компоненттерін (топырақ, ландшафт, өсімдіктер, ағаштар, жәндіктер, жануарлар) жасанды түрде қалпына келтіру арқылы іске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15.10.2025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Биологиялық жүйенің жойылатын компоненттерін тікелей қалпына келтіру мүмкін болмаған жағдайда, биоәртүрліліктің жоғалуын өтеу биологиялық жүйенің осы компоненттері бұрын болған аумақтың шегінен тыс биологиялық жүйенің компоненттерін (өсімдіктер, ағаштар, жәндіктер, жануарлар) интродукциялау жолымен не биологиялық жүйенің экологиялық жүйесі үшін басқа да құнды компоненттерін (топырақ, ландшафт, өсімдіктер,  ағаштар, жәндіктер, жануарлар) жасанды түрде жасау жолымен орындалады.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15.10.2025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14. Биоәртүрлілікті жоғалтуды өтеуді тиісінше орындау Бағдарламада көзделген барлық іс-шаралардың уақтылы және тиісті орындалуымен расталады.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