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c1c4" w14:textId="ef5c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Қазақстан Республикасы Қаржы нарығын және қаржы ұйымдарын реттеу мен қадағалау агенттігі Басқармасының 2007 жылғы 16 шілдедегі № 210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25 қаңтардағы № 3 қаулысы. Қазақстан Республикасының Әділет министрлігінде 2021 жылғы 28 қаңтарда № 22132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банктердің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Қазақстан Республикасы Қаржы нарығын және қаржы ұйымдарын реттеу мен қадағалау агенттігі Басқармасының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 банктері филиалдарының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сондай-ақ екінші деңгейдегі банктер брокерлік қызметті жүзеге асыра алатын өлшемшарттарды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6" w:id="3"/>
    <w:p>
      <w:pPr>
        <w:spacing w:after="0"/>
        <w:ind w:left="0"/>
        <w:jc w:val="both"/>
      </w:pPr>
      <w:r>
        <w:rPr>
          <w:rFonts w:ascii="Times New Roman"/>
          <w:b w:val="false"/>
          <w:i w:val="false"/>
          <w:color w:val="000000"/>
          <w:sz w:val="28"/>
        </w:rPr>
        <w:t>
      "1. Екінші деңгейдегі банктер, Қазақстан Республикасының бейрезидент-банктерінің филиалдары (бұдан әрі – екінші деңгейдегі банктер) базалық активі:";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8" w:id="4"/>
    <w:p>
      <w:pPr>
        <w:spacing w:after="0"/>
        <w:ind w:left="0"/>
        <w:jc w:val="both"/>
      </w:pPr>
      <w:r>
        <w:rPr>
          <w:rFonts w:ascii="Times New Roman"/>
          <w:b w:val="false"/>
          <w:i w:val="false"/>
          <w:color w:val="000000"/>
          <w:sz w:val="28"/>
        </w:rPr>
        <w:t xml:space="preserve">
      "2. Базалық активтері осы қаулының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туынды қаржы құралдарымен мәмілелер ұйымдастырылмаған нарықта мәмілелер жасау жағдайларын қоспағанда, Қазақстан Республикасының ұйымдастырылған бағалы қағаздар нарығында және (немесе)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тізімінде көрсетілген халықаралық қор биржалары болып танылатын сауда-саттықты ұйымдастырушылар жүйесінде мынадай жағдайлардың бірін сақталған кезде жасалады:";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bookmarkStart w:name="z10" w:id="5"/>
    <w:p>
      <w:pPr>
        <w:spacing w:after="0"/>
        <w:ind w:left="0"/>
        <w:jc w:val="both"/>
      </w:pPr>
      <w:r>
        <w:rPr>
          <w:rFonts w:ascii="Times New Roman"/>
          <w:b w:val="false"/>
          <w:i w:val="false"/>
          <w:color w:val="000000"/>
          <w:sz w:val="28"/>
        </w:rPr>
        <w:t>
      бірінші абзацтың редакциясы қазақ тілінде өзгермейді;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"10) халықаралық (шетелдік) бағалы қағаздар нарықтарында Қазақстан Республикасы бейрезидент-заңды тұлғаларының Нормативтік құқықтық актілерді мемлекеттік тіркеу тізілімінде № 19260 болып тіркелген Қазақстан Республикасы Ұлттық Банкі Басқармасының "Банктер, банктің немесе банк холдингінің еншілес ұйымдары сатып алатын заңды тұлғалардың акцияларына (жарғылық капиталға қатысу үлестеріне) қойылатын талаптарды, сондай-ақ банктің заңды тұлғалардың жарғылық капиталына қатысу үлестерінің не акцияларының жиынтық құнын белгілеу туралы" 2019 жылғы 19 тамыздағы № 131 қаулысына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халықаралық қор биржаларында айналыстағы акцияларымен (жарғылық капиталға қатысу үлестерімен) мәмілелер жасау;";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"14) бас банк пен еншілес банк арасындағы активтер мен міндеттемелерді бірмезгілде беру жөніндегі операцияны жүргізу шеңберінде бағалы қағаздарды және (немесе) өзге де қаржы құралдарын беру бойынша мәмілелер, сондай-ақ бас банк пен ұлттық басқарушы холдинг арасындағы еншілес банктің активтері мен міндеттемелерін беру жөніндегі операцияны жүргізу шеңберінде бағалы қағаздарды және (немесе) өзге де қаржы құралдарын беру жөніндегі мәмілелерді жасау жағдайларын қоспағанда, екінші деңгейдегі банктер өз мүддесі үшін және өз есебінде ұйымдастырылған бағалы қағаздар нарығында мемлекеттік және мемлекеттік емес бағалы қағаздармен қайталама нарықта мәмілелер жасайды.";</w:t>
      </w:r>
    </w:p>
    <w:bookmarkEnd w:id="7"/>
    <w:bookmarkStart w:name="z15" w:id="8"/>
    <w:p>
      <w:pPr>
        <w:spacing w:after="0"/>
        <w:ind w:left="0"/>
        <w:jc w:val="both"/>
      </w:pPr>
      <w:r>
        <w:rPr>
          <w:rFonts w:ascii="Times New Roman"/>
          <w:b w:val="false"/>
          <w:i w:val="false"/>
          <w:color w:val="000000"/>
          <w:sz w:val="28"/>
        </w:rPr>
        <w:t>
      мынадай мазмұндағы 3-2-тармақпен толықтырылсын:</w:t>
      </w:r>
    </w:p>
    <w:bookmarkEnd w:id="8"/>
    <w:bookmarkStart w:name="z16" w:id="9"/>
    <w:p>
      <w:pPr>
        <w:spacing w:after="0"/>
        <w:ind w:left="0"/>
        <w:jc w:val="both"/>
      </w:pPr>
      <w:r>
        <w:rPr>
          <w:rFonts w:ascii="Times New Roman"/>
          <w:b w:val="false"/>
          <w:i w:val="false"/>
          <w:color w:val="000000"/>
          <w:sz w:val="28"/>
        </w:rPr>
        <w:t xml:space="preserve">
      "3-2.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қаржы құралдарынан басқа өзге де қаржы құралдарымен (бұдан әрі – өзге де қаржы құралдары) мәмілелерді екінші деңгейдегі банк Қазақстан Республикасының бағалы қағаздар рыногы туралы заңнамасына сәйкес брокерлік қызмет шеңберінде осындай мәмілелерді жасау ниеті туралы қаржы нарығын және қаржы ұйымдарын реттеу, бақылау және қадағалау жөніндегі уәкілетті органға (бұдан әрі – уәкілетті орган) хабарлама берген күні мына өлшемшарттарды сақтаған жағдайда жасасады:</w:t>
      </w:r>
    </w:p>
    <w:bookmarkEnd w:id="9"/>
    <w:p>
      <w:pPr>
        <w:spacing w:after="0"/>
        <w:ind w:left="0"/>
        <w:jc w:val="both"/>
      </w:pPr>
      <w:r>
        <w:rPr>
          <w:rFonts w:ascii="Times New Roman"/>
          <w:b w:val="false"/>
          <w:i w:val="false"/>
          <w:color w:val="000000"/>
          <w:sz w:val="28"/>
        </w:rPr>
        <w:t>
      1) екінші деңгейдегі банкте уәкілетті органның брокерлік қызметті жүзеге асыруға лицензиясы болса;</w:t>
      </w:r>
    </w:p>
    <w:p>
      <w:pPr>
        <w:spacing w:after="0"/>
        <w:ind w:left="0"/>
        <w:jc w:val="both"/>
      </w:pPr>
      <w:r>
        <w:rPr>
          <w:rFonts w:ascii="Times New Roman"/>
          <w:b w:val="false"/>
          <w:i w:val="false"/>
          <w:color w:val="000000"/>
          <w:sz w:val="28"/>
        </w:rPr>
        <w:t>
      2) банктің ағымдағы өтімділік коэффициентінің k4 мәні кем дегенде 1 болса.</w:t>
      </w:r>
    </w:p>
    <w:p>
      <w:pPr>
        <w:spacing w:after="0"/>
        <w:ind w:left="0"/>
        <w:jc w:val="both"/>
      </w:pPr>
      <w:r>
        <w:rPr>
          <w:rFonts w:ascii="Times New Roman"/>
          <w:b w:val="false"/>
          <w:i w:val="false"/>
          <w:color w:val="000000"/>
          <w:sz w:val="28"/>
        </w:rPr>
        <w:t>
      Екінші деңгейдегі банк клиенттердің есебінен және олардың мүддесі үшін өзге де қаржы құралдарымен мәмілелер жасасуға ниетті болған кезде екінші деңгейдегі банк осы қызметті жүзеге асыра бастаған күннен бастап күнтізбелік 30 (отыз) күн ішінде уәкілетті органды көрсетілген өлшемшарттардың сақталуы туралы ақпаратты көрсете отырып осындай ниеті туралы хабардар етеді.</w:t>
      </w:r>
    </w:p>
    <w:p>
      <w:pPr>
        <w:spacing w:after="0"/>
        <w:ind w:left="0"/>
        <w:jc w:val="both"/>
      </w:pPr>
      <w:r>
        <w:rPr>
          <w:rFonts w:ascii="Times New Roman"/>
          <w:b w:val="false"/>
          <w:i w:val="false"/>
          <w:color w:val="000000"/>
          <w:sz w:val="28"/>
        </w:rPr>
        <w:t>
      Екінші деңгейдегі банк көрсетілген өлшемшарттарға сәйкес келмеуді анықтаған жағдайда осындай сәйкес келмеу фактісі туралы уәкілетті органды тез арада хабардар етеді және аталған сәйкес келмеу анықталған күннен бастап өзге де қаржы құралдарын сатып алу бойынша брокерлік қызмет шеңберінде жаңа мәмілелер жасаспайды.";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8" w:id="10"/>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10"/>
    <w:bookmarkStart w:name="z19" w:id="1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1"/>
    <w:bookmarkStart w:name="z20" w:id="1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2"/>
    <w:bookmarkStart w:name="z21" w:id="13"/>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3"/>
    <w:bookmarkStart w:name="z22" w:id="1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4"/>
    <w:bookmarkStart w:name="z23" w:id="1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25 қаңтардағы</w:t>
            </w:r>
            <w:r>
              <w:br/>
            </w:r>
            <w:r>
              <w:rPr>
                <w:rFonts w:ascii="Times New Roman"/>
                <w:b w:val="false"/>
                <w:i w:val="false"/>
                <w:color w:val="000000"/>
                <w:sz w:val="20"/>
              </w:rPr>
              <w:t>№ 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w:t>
            </w:r>
            <w:r>
              <w:br/>
            </w:r>
            <w:r>
              <w:rPr>
                <w:rFonts w:ascii="Times New Roman"/>
                <w:b w:val="false"/>
                <w:i w:val="false"/>
                <w:color w:val="000000"/>
                <w:sz w:val="20"/>
              </w:rPr>
              <w:t>қаржы ұйымдарын</w:t>
            </w:r>
            <w:r>
              <w:br/>
            </w:r>
            <w:r>
              <w:rPr>
                <w:rFonts w:ascii="Times New Roman"/>
                <w:b w:val="false"/>
                <w:i w:val="false"/>
                <w:color w:val="000000"/>
                <w:sz w:val="20"/>
              </w:rPr>
              <w:t>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2007 жылғы 16 шілдедегі</w:t>
            </w:r>
            <w:r>
              <w:br/>
            </w:r>
            <w:r>
              <w:rPr>
                <w:rFonts w:ascii="Times New Roman"/>
                <w:b w:val="false"/>
                <w:i w:val="false"/>
                <w:color w:val="000000"/>
                <w:sz w:val="20"/>
              </w:rPr>
              <w:t>№ 210 қаулысына</w:t>
            </w:r>
            <w:r>
              <w:br/>
            </w:r>
            <w:r>
              <w:rPr>
                <w:rFonts w:ascii="Times New Roman"/>
                <w:b w:val="false"/>
                <w:i w:val="false"/>
                <w:color w:val="000000"/>
                <w:sz w:val="20"/>
              </w:rPr>
              <w:t>1-қосымша</w:t>
            </w:r>
          </w:p>
        </w:tc>
      </w:tr>
    </w:tbl>
    <w:bookmarkStart w:name="z26" w:id="16"/>
    <w:p>
      <w:pPr>
        <w:spacing w:after="0"/>
        <w:ind w:left="0"/>
        <w:jc w:val="left"/>
      </w:pPr>
      <w:r>
        <w:rPr>
          <w:rFonts w:ascii="Times New Roman"/>
          <w:b/>
          <w:i w:val="false"/>
          <w:color w:val="000000"/>
        </w:rPr>
        <w:t xml:space="preserve"> Есеп айырысу көрсеткіштерінің (индекстердің) тізбесі</w:t>
      </w:r>
    </w:p>
    <w:bookmarkEnd w:id="16"/>
    <w:bookmarkStart w:name="z27" w:id="17"/>
    <w:p>
      <w:pPr>
        <w:spacing w:after="0"/>
        <w:ind w:left="0"/>
        <w:jc w:val="both"/>
      </w:pPr>
      <w:r>
        <w:rPr>
          <w:rFonts w:ascii="Times New Roman"/>
          <w:b w:val="false"/>
          <w:i w:val="false"/>
          <w:color w:val="000000"/>
          <w:sz w:val="28"/>
        </w:rPr>
        <w:t>
      1. САС 40 (Compagnie des Agents de Change 40 Index);</w:t>
      </w:r>
    </w:p>
    <w:bookmarkEnd w:id="17"/>
    <w:bookmarkStart w:name="z28" w:id="18"/>
    <w:p>
      <w:pPr>
        <w:spacing w:after="0"/>
        <w:ind w:left="0"/>
        <w:jc w:val="both"/>
      </w:pPr>
      <w:r>
        <w:rPr>
          <w:rFonts w:ascii="Times New Roman"/>
          <w:b w:val="false"/>
          <w:i w:val="false"/>
          <w:color w:val="000000"/>
          <w:sz w:val="28"/>
        </w:rPr>
        <w:t>
      2. DAX (Deutscher Aktienindex);</w:t>
      </w:r>
    </w:p>
    <w:bookmarkEnd w:id="18"/>
    <w:bookmarkStart w:name="z29" w:id="19"/>
    <w:p>
      <w:pPr>
        <w:spacing w:after="0"/>
        <w:ind w:left="0"/>
        <w:jc w:val="both"/>
      </w:pPr>
      <w:r>
        <w:rPr>
          <w:rFonts w:ascii="Times New Roman"/>
          <w:b w:val="false"/>
          <w:i w:val="false"/>
          <w:color w:val="000000"/>
          <w:sz w:val="28"/>
        </w:rPr>
        <w:t>
      3. DJIA (Dow Jones Industrial Average);</w:t>
      </w:r>
    </w:p>
    <w:bookmarkEnd w:id="19"/>
    <w:bookmarkStart w:name="z30" w:id="20"/>
    <w:p>
      <w:pPr>
        <w:spacing w:after="0"/>
        <w:ind w:left="0"/>
        <w:jc w:val="both"/>
      </w:pPr>
      <w:r>
        <w:rPr>
          <w:rFonts w:ascii="Times New Roman"/>
          <w:b w:val="false"/>
          <w:i w:val="false"/>
          <w:color w:val="000000"/>
          <w:sz w:val="28"/>
        </w:rPr>
        <w:t>
      4. EURO STOXX 50 (EURO STOXX 50 Price Index);</w:t>
      </w:r>
    </w:p>
    <w:bookmarkEnd w:id="20"/>
    <w:bookmarkStart w:name="z31" w:id="21"/>
    <w:p>
      <w:pPr>
        <w:spacing w:after="0"/>
        <w:ind w:left="0"/>
        <w:jc w:val="both"/>
      </w:pPr>
      <w:r>
        <w:rPr>
          <w:rFonts w:ascii="Times New Roman"/>
          <w:b w:val="false"/>
          <w:i w:val="false"/>
          <w:color w:val="000000"/>
          <w:sz w:val="28"/>
        </w:rPr>
        <w:t>
      5. FTSE 100 (Financial Times Stock Exchange 100 Index);</w:t>
      </w:r>
    </w:p>
    <w:bookmarkEnd w:id="21"/>
    <w:bookmarkStart w:name="z32" w:id="22"/>
    <w:p>
      <w:pPr>
        <w:spacing w:after="0"/>
        <w:ind w:left="0"/>
        <w:jc w:val="both"/>
      </w:pPr>
      <w:r>
        <w:rPr>
          <w:rFonts w:ascii="Times New Roman"/>
          <w:b w:val="false"/>
          <w:i w:val="false"/>
          <w:color w:val="000000"/>
          <w:sz w:val="28"/>
        </w:rPr>
        <w:t>
      6. HSI (Hang Seng Index);</w:t>
      </w:r>
    </w:p>
    <w:bookmarkEnd w:id="22"/>
    <w:bookmarkStart w:name="z33" w:id="23"/>
    <w:p>
      <w:pPr>
        <w:spacing w:after="0"/>
        <w:ind w:left="0"/>
        <w:jc w:val="both"/>
      </w:pPr>
      <w:r>
        <w:rPr>
          <w:rFonts w:ascii="Times New Roman"/>
          <w:b w:val="false"/>
          <w:i w:val="false"/>
          <w:color w:val="000000"/>
          <w:sz w:val="28"/>
        </w:rPr>
        <w:t>
      7. KASE (Kazakhstan Stock Exchange Index);</w:t>
      </w:r>
    </w:p>
    <w:bookmarkEnd w:id="23"/>
    <w:bookmarkStart w:name="z34" w:id="24"/>
    <w:p>
      <w:pPr>
        <w:spacing w:after="0"/>
        <w:ind w:left="0"/>
        <w:jc w:val="both"/>
      </w:pPr>
      <w:r>
        <w:rPr>
          <w:rFonts w:ascii="Times New Roman"/>
          <w:b w:val="false"/>
          <w:i w:val="false"/>
          <w:color w:val="000000"/>
          <w:sz w:val="28"/>
        </w:rPr>
        <w:t>
      8. MSCI World Index (Morgan Stanley Capital International World Index);</w:t>
      </w:r>
    </w:p>
    <w:bookmarkEnd w:id="24"/>
    <w:bookmarkStart w:name="z35" w:id="25"/>
    <w:p>
      <w:pPr>
        <w:spacing w:after="0"/>
        <w:ind w:left="0"/>
        <w:jc w:val="both"/>
      </w:pPr>
      <w:r>
        <w:rPr>
          <w:rFonts w:ascii="Times New Roman"/>
          <w:b w:val="false"/>
          <w:i w:val="false"/>
          <w:color w:val="000000"/>
          <w:sz w:val="28"/>
        </w:rPr>
        <w:t>
      9. MOEX Russia (Moscow Exchange Russia Index);</w:t>
      </w:r>
    </w:p>
    <w:bookmarkEnd w:id="25"/>
    <w:bookmarkStart w:name="z36" w:id="26"/>
    <w:p>
      <w:pPr>
        <w:spacing w:after="0"/>
        <w:ind w:left="0"/>
        <w:jc w:val="both"/>
      </w:pPr>
      <w:r>
        <w:rPr>
          <w:rFonts w:ascii="Times New Roman"/>
          <w:b w:val="false"/>
          <w:i w:val="false"/>
          <w:color w:val="000000"/>
          <w:sz w:val="28"/>
        </w:rPr>
        <w:t>
      10. NIKKEI 225 (Nikkei-225 Stock Average Index);</w:t>
      </w:r>
    </w:p>
    <w:bookmarkEnd w:id="26"/>
    <w:bookmarkStart w:name="z37" w:id="27"/>
    <w:p>
      <w:pPr>
        <w:spacing w:after="0"/>
        <w:ind w:left="0"/>
        <w:jc w:val="both"/>
      </w:pPr>
      <w:r>
        <w:rPr>
          <w:rFonts w:ascii="Times New Roman"/>
          <w:b w:val="false"/>
          <w:i w:val="false"/>
          <w:color w:val="000000"/>
          <w:sz w:val="28"/>
        </w:rPr>
        <w:t>
      11. RTSI (Russian Trade System Index);</w:t>
      </w:r>
    </w:p>
    <w:bookmarkEnd w:id="27"/>
    <w:bookmarkStart w:name="z38" w:id="28"/>
    <w:p>
      <w:pPr>
        <w:spacing w:after="0"/>
        <w:ind w:left="0"/>
        <w:jc w:val="both"/>
      </w:pPr>
      <w:r>
        <w:rPr>
          <w:rFonts w:ascii="Times New Roman"/>
          <w:b w:val="false"/>
          <w:i w:val="false"/>
          <w:color w:val="000000"/>
          <w:sz w:val="28"/>
        </w:rPr>
        <w:t>
      12. S&amp;P 500 (Standard and Poor's 500 Index);</w:t>
      </w:r>
    </w:p>
    <w:bookmarkEnd w:id="28"/>
    <w:bookmarkStart w:name="z39" w:id="29"/>
    <w:p>
      <w:pPr>
        <w:spacing w:after="0"/>
        <w:ind w:left="0"/>
        <w:jc w:val="both"/>
      </w:pPr>
      <w:r>
        <w:rPr>
          <w:rFonts w:ascii="Times New Roman"/>
          <w:b w:val="false"/>
          <w:i w:val="false"/>
          <w:color w:val="000000"/>
          <w:sz w:val="28"/>
        </w:rPr>
        <w:t>
      13. TOPIX 100 (Tokyo Stock Price 100 Index);</w:t>
      </w:r>
    </w:p>
    <w:bookmarkEnd w:id="29"/>
    <w:bookmarkStart w:name="z40" w:id="30"/>
    <w:p>
      <w:pPr>
        <w:spacing w:after="0"/>
        <w:ind w:left="0"/>
        <w:jc w:val="both"/>
      </w:pPr>
      <w:r>
        <w:rPr>
          <w:rFonts w:ascii="Times New Roman"/>
          <w:b w:val="false"/>
          <w:i w:val="false"/>
          <w:color w:val="000000"/>
          <w:sz w:val="28"/>
        </w:rPr>
        <w:t>
      14. NASDAQ-100 (Nasdaq-100 Index).</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