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2296" w14:textId="2b12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43/319-VІ "2020-2022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46/362-VI шешімі. Шығыс Қазақстан облысының Әділет департаментінде 2020 жылғы 22 сәуірде № 6969 болып тіркелді. Күші жойылды - Шығыс Қазақстан облысы Аягөз аудандық мәслихатының 2020 жылғы 25 желтоқсандағы № 55/548-VI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№45/336-VI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№43/319-VІ "2020-2022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6594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19395,0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587,0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18 808,0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19395,0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