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a3ae" w14:textId="4d8a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банктерінің,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 Қазақстан Республикасы Ұлттық Банкі Басқармасының 2020 жылғы 24 ақпандағы № 14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қыркүйектегі № 105 қаулысы. Қазақстан Республикасының Әділет министрлігінде 2020 жылғы 26 қыркүйекте № 21287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16.12.2020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"Екінші деңгейдегі банктерінің,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 Қазақстан Республикасы Ұлттық Банкі Басқармасының 2020 жылғы 24 ақпандағы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20075 болып тіркелген, 2020 жылғы 2 наурызда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банктерінің,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Осы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Қазақстан Республикасының заңдарына сәйкес әзірленді және екінші деңгейдегі банктердің, Қазақстан Республикасының бейрезидент банктері филиалдарының, Ұлттық пошта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(бұдан әрі – уәкілетті ұйымдар) және олардың филиалдарының үй-жайларын күзетуді және жайластыруды ұйымдастыру тәртібін айқындайды.".</w:t>
      </w:r>
    </w:p>
    <w:bookmarkEnd w:id="6"/>
    <w:bookmarkStart w:name="z12" w:id="7"/>
    <w:p>
      <w:pPr>
        <w:spacing w:after="0"/>
        <w:ind w:left="0"/>
        <w:jc w:val="both"/>
      </w:pPr>
      <w:r>
        <w:rPr>
          <w:rFonts w:ascii="Times New Roman"/>
          <w:b w:val="false"/>
          <w:i w:val="false"/>
          <w:color w:val="000000"/>
          <w:sz w:val="28"/>
        </w:rPr>
        <w:t>
      2. Қолма-қол ақша айналысы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9"/>
    <w:bookmarkStart w:name="z15" w:id="1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6" w:id="11"/>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1"/>
    <w:bookmarkStart w:name="z17" w:id="1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12"/>
    <w:bookmarkStart w:name="z18" w:id="13"/>
    <w:p>
      <w:pPr>
        <w:spacing w:after="0"/>
        <w:ind w:left="0"/>
        <w:jc w:val="both"/>
      </w:pPr>
      <w:r>
        <w:rPr>
          <w:rFonts w:ascii="Times New Roman"/>
          <w:b w:val="false"/>
          <w:i w:val="false"/>
          <w:color w:val="000000"/>
          <w:sz w:val="28"/>
        </w:rPr>
        <w:t xml:space="preserve">
      5. Осы қаулы ресми жариялануға тиіс және 2020 жылғы 16 желтоқсаннан бастап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