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ed02" w14:textId="63be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тұрмыстық қатты қалдықтарды жинауға, әкетуге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2019 жылғы 28 қарашадағы № 47/448 шешімі. Маңғыстау облысы Әділет департаментінде 2019 жылғы 9 желтоқсанда № 4050 болып тіркелді. Күші жойылды - Маңғыстау облысы Мұнайлы аудандық мәслихатының 23 қазандағы 2023 жылғы № 6/39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20-1 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Энергетика министрінің 2016 жылғы 1 қыркүйектегі </w:t>
      </w:r>
      <w:r>
        <w:rPr>
          <w:rFonts w:ascii="Times New Roman"/>
          <w:b w:val="false"/>
          <w:i w:val="false"/>
          <w:color w:val="000000"/>
          <w:sz w:val="28"/>
        </w:rPr>
        <w:t>№404</w:t>
      </w:r>
      <w:r>
        <w:rPr>
          <w:rFonts w:ascii="Times New Roman"/>
          <w:b w:val="false"/>
          <w:i w:val="false"/>
          <w:color w:val="000000"/>
          <w:sz w:val="28"/>
        </w:rPr>
        <w:t xml:space="preserve"> "Тұрмыстық қатты қалдықтарды жинауға, әкетуге, кәдеге жаратуға, қайта өңдеуге және көмуге арналған тарифті есептеу әдістемесін бекіту туралы" (нормативтік құқықтық актілерді мемлекеттік тіркеу Тізілімінде №14285 болып тіркелген) бұйрығына сәйкес, Мұнайлы аудандық мәслихаты ШЕШІМ ҚАБЫЛДАДЫҚ:</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Мұнайлы ауданы бойынша тұрмыстық қатты қалдықтарды жинауға, әкетуге және көмуге арналған тарифтер бекітілсін.</w:t>
      </w:r>
    </w:p>
    <w:bookmarkEnd w:id="1"/>
    <w:bookmarkStart w:name="z7"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w:t>
      </w:r>
    </w:p>
    <w:bookmarkEnd w:id="2"/>
    <w:bookmarkStart w:name="z8" w:id="3"/>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3"/>
    <w:bookmarkStart w:name="z9"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Дюсалиев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47/448 шешіміне қосымша</w:t>
            </w:r>
          </w:p>
        </w:tc>
      </w:tr>
    </w:tbl>
    <w:bookmarkStart w:name="z15" w:id="5"/>
    <w:p>
      <w:pPr>
        <w:spacing w:after="0"/>
        <w:ind w:left="0"/>
        <w:jc w:val="left"/>
      </w:pPr>
      <w:r>
        <w:rPr>
          <w:rFonts w:ascii="Times New Roman"/>
          <w:b/>
          <w:i w:val="false"/>
          <w:color w:val="000000"/>
        </w:rPr>
        <w:t xml:space="preserve"> Мұнайлы ауданы бойынша тұрмыстық қатты қалдықтарды жинауға, әкетуге және көмуге арналған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 (ҚҚС есептемегенде)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bl>
    <w:bookmarkStart w:name="z16" w:id="6"/>
    <w:p>
      <w:pPr>
        <w:spacing w:after="0"/>
        <w:ind w:left="0"/>
        <w:jc w:val="both"/>
      </w:pPr>
      <w:r>
        <w:rPr>
          <w:rFonts w:ascii="Times New Roman"/>
          <w:b w:val="false"/>
          <w:i w:val="false"/>
          <w:color w:val="000000"/>
          <w:sz w:val="28"/>
        </w:rPr>
        <w:t>
      Ескерту:</w:t>
      </w:r>
    </w:p>
    <w:bookmarkEnd w:id="6"/>
    <w:bookmarkStart w:name="z17" w:id="7"/>
    <w:p>
      <w:pPr>
        <w:spacing w:after="0"/>
        <w:ind w:left="0"/>
        <w:jc w:val="both"/>
      </w:pPr>
      <w:r>
        <w:rPr>
          <w:rFonts w:ascii="Times New Roman"/>
          <w:b w:val="false"/>
          <w:i w:val="false"/>
          <w:color w:val="000000"/>
          <w:sz w:val="28"/>
        </w:rPr>
        <w:t>
      Аббревиатураның ажыратылып жазылуы:</w:t>
      </w:r>
    </w:p>
    <w:bookmarkEnd w:id="7"/>
    <w:bookmarkStart w:name="z18" w:id="8"/>
    <w:p>
      <w:pPr>
        <w:spacing w:after="0"/>
        <w:ind w:left="0"/>
        <w:jc w:val="both"/>
      </w:pPr>
      <w:r>
        <w:rPr>
          <w:rFonts w:ascii="Times New Roman"/>
          <w:b w:val="false"/>
          <w:i w:val="false"/>
          <w:color w:val="000000"/>
          <w:sz w:val="28"/>
        </w:rPr>
        <w:t>
      ҚҚС – қосылған құн салығы.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