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1047" w14:textId="3021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Сандықтау ауданының шекараларындағы пайдаланылмайтын ауыл шаруашылығы мақсатындағы жерлерге бірыңғай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2019 жылғы 28 наурыздағы № 27/4 шешімі. Ақмола облысының Әділет департаментінде 2019 жылғы 2 сәуірде № 7118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""Салық және бюджетке төленетін басқа да міндетті төлемдер туралы" Қазақстан Республикасының Кодексін (Салық кодексі) қолданысқа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Сандықтау ауданының шекараларындағы пайдаланылмайтын ауыл шаруашылығы мақсатындағы жерлерге бірыңғай жер салығының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енеді, ресми жарияланған күнінен бастап қолданысқа енгізіледі және 2020 жылғы 1 қаңтарға дейін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Д.Ильдебаев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Сандықтау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