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7d28" w14:textId="c4b7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14 наурыздағы № 122 және Қазақстан Республикасы Индустрия және инфрақұрылымдық даму министрінің 2019 жылғы 18 наурыздағы № 150 бірлескен бұйрығы. Қазақстан Республикасының Әділет министрлігінде 2019 жылғы 20 наурызда № 18403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6-3 бабының</w:t>
      </w:r>
      <w:r>
        <w:rPr>
          <w:rFonts w:ascii="Times New Roman"/>
          <w:b w:val="false"/>
          <w:i w:val="false"/>
          <w:color w:val="000000"/>
          <w:sz w:val="28"/>
        </w:rPr>
        <w:t xml:space="preserve">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берілетін мемлекеттік реттеуге жатқызылатын өлшем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бірлескен бұйрық мемлекеттік тіркеуден өткен күнінен бастап күнтізбелік он күн ішінде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нормативтiк құқықтық актiлерiнiң эталондық бақылау банкiне енгізу үшін жолдауды; </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2019 жылғы 11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14 наурыздағы</w:t>
            </w:r>
            <w:r>
              <w:br/>
            </w:r>
            <w:r>
              <w:rPr>
                <w:rFonts w:ascii="Times New Roman"/>
                <w:b w:val="false"/>
                <w:i w:val="false"/>
                <w:color w:val="000000"/>
                <w:sz w:val="20"/>
              </w:rPr>
              <w:t>№ 122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xml:space="preserve">№ 150 бірлескен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реттеуге жатқызылатын өлшем тізбесі</w:t>
      </w:r>
    </w:p>
    <w:bookmarkEnd w:id="8"/>
    <w:p>
      <w:pPr>
        <w:spacing w:after="0"/>
        <w:ind w:left="0"/>
        <w:jc w:val="both"/>
      </w:pPr>
      <w:r>
        <w:rPr>
          <w:rFonts w:ascii="Times New Roman"/>
          <w:b w:val="false"/>
          <w:i w:val="false"/>
          <w:color w:val="ff0000"/>
          <w:sz w:val="28"/>
        </w:rPr>
        <w:t xml:space="preserve">
      Ескерту. Тізбе жаңа редакцияда - ҚР Әділет министрінің 17.02.2023 </w:t>
      </w:r>
      <w:r>
        <w:rPr>
          <w:rFonts w:ascii="Times New Roman"/>
          <w:b w:val="false"/>
          <w:i w:val="false"/>
          <w:color w:val="ff0000"/>
          <w:sz w:val="28"/>
        </w:rPr>
        <w:t>№ 130</w:t>
      </w:r>
      <w:r>
        <w:rPr>
          <w:rFonts w:ascii="Times New Roman"/>
          <w:b w:val="false"/>
          <w:i w:val="false"/>
          <w:color w:val="ff0000"/>
          <w:sz w:val="28"/>
        </w:rPr>
        <w:t xml:space="preserve"> және ҚР Премьер-Министрінің орынбасары - Сауда және интеграция министрінің 20.02.2023 № 80-НҚ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Объектісі мен қолдану саласы көрсетілген өлшем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Метрологиялық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ауқымы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рұқсат етілген қателігі немесе дәлдік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гамма-және рентген сәулелендiру мөлшерiнiң амбиенттік эквивалентін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9999 мЗв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МЭҚ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9999 мк3в/ч-1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бета- бөлшектер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1×10-нан 1×105 бөлш.см-1.мин-1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(20+200/В)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гамма-және рентген сәулелендiру мөлшерiнiң амбиенттік эквивалентінің жиналу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мин.-тан 100 сағатқа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 мен сот өрт-техникалық сараптамасын жүргізу кезінде зерттелетін объектілердің арасындағы арақашықтықты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100 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±1,5 мм дейін;</w:t>
            </w:r>
          </w:p>
          <w:p>
            <w:pPr>
              <w:spacing w:after="20"/>
              <w:ind w:left="20"/>
              <w:jc w:val="both"/>
            </w:pPr>
            <w:r>
              <w:rPr>
                <w:rFonts w:ascii="Times New Roman"/>
                <w:b w:val="false"/>
                <w:i w:val="false"/>
                <w:color w:val="000000"/>
                <w:sz w:val="20"/>
              </w:rPr>
              <w:t>
5 м жоғары : ±(1,5+0,15 × (d·10-3 – 10)) мм;</w:t>
            </w:r>
          </w:p>
          <w:p>
            <w:pPr>
              <w:spacing w:after="20"/>
              <w:ind w:left="20"/>
              <w:jc w:val="both"/>
            </w:pPr>
            <w:r>
              <w:rPr>
                <w:rFonts w:ascii="Times New Roman"/>
                <w:b w:val="false"/>
                <w:i w:val="false"/>
                <w:color w:val="000000"/>
                <w:sz w:val="20"/>
              </w:rPr>
              <w:t>
±(3,0+0,2 × (d·10-3 – 30))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сараптамасын заттар мен материалдардың сот сараптамасын жүргізу кезінде зерттелетін объекті ақауларының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6000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(0,1+0,005 Н)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сараптамасын, сот баллистикалық сараптамасын, сот тауартану сараптамасын, құжаттардың сот сараптамасын, сот өрт-техникалық сараптамасы, сот жарылыс-техникалық сараптамасы, сот биологиялық сараптамасы және заттар мен материалдардың сот сараптамасын жүргізу кезінде зерттелетін объектінің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сараптамасын жүргізу кезінде бетонның қорғаныш қабатының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90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hзс + 0,5)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зерттелетін объектінің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 300,0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ден 3,0 мм дейінгі қалыңдықта ± (0,01Х+0,1), 3,01 ден 99,99 мм дейінгі қалыңдықта ±(0,01Х+0,05), 100,0 ден 300,0 мм дейінгі қалыңдықта ± (0,01Х+0,1)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сот трасологиялық сараптамасын, сот баллистикалық сараптамасын, сот құрылыс сараптамасын, сот өрт-техникалық сараптамасын, сот жарылыс-техникалық сараптамасын, заттар мен материалдардың сот сараптамасын және сот-медициналық бағытындағы сараптамаларды жүргізу кезінде зерттелетін объектілердің өлшемдік сипаттамаларын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1000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сараптамасын, сот трасологиялық сараптамасын, сот баллистикалық сараптамасын, сот өрт-техникалық сараптамасын, сот жарылыс-техникалық сараптамасын, жол-көлік оқиғалары жағдайлары мен көлік құралдарының сот сараптамасын, сот экологиялық сараптамасын, жүргізу кезінде зерттелетін объектілердің өлшемдік сипаттамаларын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50000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интервалы - ±0,2 мм; сантиметрлік интервалы - ±0,3 мм; дециметрлік интервалы - ±0,4 мм; шкала кесіндісi 1 м - ±(0,4+0,2∙(L-1))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заттар мен материалдардың сот сараптамасын жүргізу кезінде қоспалардың құрамындағы органикалық заттардың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 шығыс сигналы ± (0,2-10)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заттар мен материалдардың сот сараптамасы жүргізу кезінде қоспалардың құрамындағы органикалық заттардың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5х10-12-нен 1х10-5г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 шығыс сигналы ± (0,2-10)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құрамдас сұйықтықтардың құрамындағы, сондай-ақ есірткі құралдарын сәйкестендіру және мөлшерлік зерттеу кезінде микрокомпоненттердің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0,0011-ден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химия-токсикологиялық сараптамасын және есірткі құралдарының, психотроптық заттардың, олардың аналогтары мен прекурсорлардың сот сараптамасын жүргізу кезінде қоспалардың құрамындағы жоғары молекулярлық органикалық заттардың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 шығыс сигналы ± (0,2-10)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тауартану сараптамасын, заттар мен материалдардың сот сараптамасын жүргізу кезінде этил спиртінің көлемдік бөлігін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сұйықтықтар мен ерітінділердің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1840 кг/м3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су ерітінділерінің және материалдардың элементтік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900 нм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ауытқу -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және сараптпмаларға мандандырылған зерттеулер жүргізу кезінде сұйықтықтардың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және сараптпмаларға мандандырылған зерттеулер жүргізу кезінде сұйықтықтардың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200 мл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және сараптпмаларға мандандырылған зерттеулер жүргізу кезінде сұйықтықтардың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10 мкл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есірткі құралдарының, психотроптық заттардың, олардың аналогтары мен прекурсорлардың сот сараптамасын, сот трасологиялық сараптамасын, сот тауартану сараптамасын, сот өрт-техникалық сараптамасын, сот жарылыс-техникалық сараптамасын жүргізу кезінде зерттелетін объектінің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1500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есірткі құралдарының, психотроптық заттардың, олардың аналогтары мен прекурсорлардың сот сараптамасын, сот трасологиялық сараптамасын, сот баллистикалық сараптамасын, сот биологиялық сараптамасын, сот жарылыс-техникалық сараптамасын, сот экологиялық сараптамасын жүргізу кезінде зерттелетін объектінің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210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дәлдік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сот тауартану сараптамасын, заттар мен материалдардың сот сараптамасын, сот биологиялық сараптамасын, сот жарылыс-техникалық сараптамасын, сот өрт-техникалық сараптамасын жүргізу кезінде зерттелетін объектінің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30 кг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дәлдік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 жүргізу кезінде зерттелетін объектінің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5000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және әкімшілік істердің, мәйіттердің, жәбірленушілердің, айыпталушылардың және басқа адамдардың материалдары бойынша сот-медициналық сараптамасын жүргізген кезде зерттелетін объектінің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1000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жарылыс-техникалық сараптамасын жүргізу кезінде зерттелетін объектінің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100 кг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дәлдік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заттардың сот сараптамасын жүргізу кезінде сұйықтықтардағы қанттың мөлшерлік құрамын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тан 140 °S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сот молекулярлық-генетикалық сараптамасын, медициналық-криминалистикалық және химия-токсикологиялық сараптамасын жүргізу кезінде сұйықтықтың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10 мкл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сот молекулярлық-генетикалық сараптамасын, медициналық-криминалистикалық және химия-токсикологиялық сараптамасын жүргізу кезінде сұйықтықтың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 мкл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есірткі құралдарының, психотроптық заттардың, олардың аналогтары мен прекурсорлардың сот сараптамасын, сот молекулярлық-генетикалық сараптамасын, медициналық-криминалистикалық және химия-токсикологиялық сараптамасын жүргізу кезінде сұйықтықтың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200 мкл дейін</w:t>
            </w:r>
          </w:p>
          <w:p>
            <w:pPr>
              <w:spacing w:after="20"/>
              <w:ind w:left="20"/>
              <w:jc w:val="both"/>
            </w:pPr>
            <w:r>
              <w:rPr>
                <w:rFonts w:ascii="Times New Roman"/>
                <w:b w:val="false"/>
                <w:i w:val="false"/>
                <w:color w:val="000000"/>
                <w:sz w:val="20"/>
              </w:rPr>
              <w:t>
30-дан 300 мкл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және мамандырылған зертеулерді, есірткі құралдарының, психотроптық заттардың, олардың аналогтары мен прекурсорлардың сот сараптамасын, сот молекулярлық-генетикалық сараптамасын, сот тауартану сараптамасын, медициналық-криминалистикалық сараптамасын, химия-токсикологиялық сараптамасын жүргізу кезінде сұйықтықтың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 мкл дейін</w:t>
            </w:r>
          </w:p>
          <w:p>
            <w:pPr>
              <w:spacing w:after="20"/>
              <w:ind w:left="20"/>
              <w:jc w:val="both"/>
            </w:pPr>
            <w:r>
              <w:rPr>
                <w:rFonts w:ascii="Times New Roman"/>
                <w:b w:val="false"/>
                <w:i w:val="false"/>
                <w:color w:val="000000"/>
                <w:sz w:val="20"/>
              </w:rPr>
              <w:t>
(500-ден 5000) мкл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таза заттардың балқу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400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объектілердің және сұйықтықтардың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120 ºС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 сараптамасын жүргізу кезінде бекітілген баяулауды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9,81 м/с2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 сараптамасын жүргізу кезінде педальды басуға күш салуды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98-ден 980 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сараптамасын жүргізу кезінде уақыттың арақашықтығын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30 мин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сараптамасын жүргізу кезінде ұяшықты бетоннның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2,0 кН дейін</w:t>
            </w:r>
          </w:p>
          <w:p>
            <w:pPr>
              <w:spacing w:after="20"/>
              <w:ind w:left="20"/>
              <w:jc w:val="both"/>
            </w:pPr>
            <w:r>
              <w:rPr>
                <w:rFonts w:ascii="Times New Roman"/>
                <w:b w:val="false"/>
                <w:i w:val="false"/>
                <w:color w:val="000000"/>
                <w:sz w:val="20"/>
              </w:rPr>
              <w:t>
0,5-ден 8,0 Мпа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сараптамасын жүргізу кезінде бетоннның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100 Мпа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сараптамасын жүргізу кезінде жеке басын сәйкестендіру және жазба монтажының белгілерін айқындау үшін айнымалы электр сигналдарының амплитудасы мен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20000 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биологиялық, медициналық-криминалистикалық және химия-токсикологиялық сараптамаларын жүргізу кезінде зерттелетін объектінің pН сутектік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 рН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заттардың лайлану және қату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80 °С –ден 50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заттардың шекті сүзгіштік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°С-ден 50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талданатын объектілердің элементтік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(11) –ден U (92)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органикалық және органикалық емес заттарды талдау кезінде өткізу оптикалық спектрлерді, сынақ үлгілерінің ИҚ диапазонында шағылысуын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370-тен 9000 см</w:t>
            </w:r>
            <w:r>
              <w:rPr>
                <w:rFonts w:ascii="Times New Roman"/>
                <w:b w:val="false"/>
                <w:i w:val="false"/>
                <w:color w:val="000000"/>
                <w:vertAlign w:val="superscript"/>
              </w:rPr>
              <w:t>-1</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(0,01-0,25) см</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органикалық және органикалық емес заттарды талдау кезінде ультракүлгін және көрінетін аумақтарда зерттелетін үлгілердің өткізгіштік, оптикалық тығыздық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–ден 1000 нм;</w:t>
            </w:r>
          </w:p>
          <w:p>
            <w:pPr>
              <w:spacing w:after="20"/>
              <w:ind w:left="20"/>
              <w:jc w:val="both"/>
            </w:pPr>
            <w:r>
              <w:rPr>
                <w:rFonts w:ascii="Times New Roman"/>
                <w:b w:val="false"/>
                <w:i w:val="false"/>
                <w:color w:val="000000"/>
                <w:sz w:val="20"/>
              </w:rPr>
              <w:t>
(0-99,9) %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нм;</w:t>
            </w:r>
          </w:p>
          <w:p>
            <w:pPr>
              <w:spacing w:after="20"/>
              <w:ind w:left="20"/>
              <w:jc w:val="both"/>
            </w:pPr>
            <w:r>
              <w:rPr>
                <w:rFonts w:ascii="Times New Roman"/>
                <w:b w:val="false"/>
                <w:i w:val="false"/>
                <w:color w:val="000000"/>
                <w:sz w:val="20"/>
              </w:rPr>
              <w:t>
±2 %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медициналық-криминалистикалық және химиялық-токсикологиялық сараптамасын жүргізу кезінде этанол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0,5 мг/л дейін;</w:t>
            </w:r>
          </w:p>
          <w:p>
            <w:pPr>
              <w:spacing w:after="20"/>
              <w:ind w:left="20"/>
              <w:jc w:val="both"/>
            </w:pPr>
            <w:r>
              <w:rPr>
                <w:rFonts w:ascii="Times New Roman"/>
                <w:b w:val="false"/>
                <w:i w:val="false"/>
                <w:color w:val="000000"/>
                <w:sz w:val="20"/>
              </w:rPr>
              <w:t>
0,5-тен 5 мг/л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мг/л;</w:t>
            </w:r>
          </w:p>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топырақ үлгілеріндегі мұнайдың және мұнай өнімдерінің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100 мг/ 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мұнайдың және мұнай өнімдерінің динамикалық және кинематикалық тұтқырлығын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о6·10</w:t>
            </w:r>
            <w:r>
              <w:rPr>
                <w:rFonts w:ascii="Times New Roman"/>
                <w:b w:val="false"/>
                <w:i w:val="false"/>
                <w:color w:val="000000"/>
                <w:vertAlign w:val="superscript"/>
              </w:rPr>
              <w:t>-7</w:t>
            </w:r>
            <w:r>
              <w:rPr>
                <w:rFonts w:ascii="Times New Roman"/>
                <w:b w:val="false"/>
                <w:i w:val="false"/>
                <w:color w:val="000000"/>
                <w:sz w:val="20"/>
              </w:rPr>
              <w:t xml:space="preserve"> –нан 3·10</w:t>
            </w:r>
            <w:r>
              <w:rPr>
                <w:rFonts w:ascii="Times New Roman"/>
                <w:b w:val="false"/>
                <w:i w:val="false"/>
                <w:color w:val="000000"/>
                <w:vertAlign w:val="superscript"/>
              </w:rPr>
              <w:t>-2</w:t>
            </w:r>
            <w:r>
              <w:rPr>
                <w:rFonts w:ascii="Times New Roman"/>
                <w:b w:val="false"/>
                <w:i w:val="false"/>
                <w:color w:val="000000"/>
                <w:sz w:val="20"/>
              </w:rPr>
              <w:t xml:space="preserve"> м2/с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мұнайдағы және мұнай өнімдеріндегі жалпы қышқылдық, сілті санын, йод санын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20 рХ дейін</w:t>
            </w:r>
          </w:p>
          <w:p>
            <w:pPr>
              <w:spacing w:after="20"/>
              <w:ind w:left="20"/>
              <w:jc w:val="both"/>
            </w:pPr>
            <w:r>
              <w:rPr>
                <w:rFonts w:ascii="Times New Roman"/>
                <w:b w:val="false"/>
                <w:i w:val="false"/>
                <w:color w:val="000000"/>
                <w:sz w:val="20"/>
              </w:rPr>
              <w:t>
0 –ден 14 рН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мұнайдағы және мұнай өнімдеріндегі судың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мұнай өнімдеріндегі күкірттің массалық үлесін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5,0 % дейін</w:t>
            </w:r>
          </w:p>
          <w:p>
            <w:pPr>
              <w:spacing w:after="20"/>
              <w:ind w:left="20"/>
              <w:jc w:val="both"/>
            </w:pPr>
            <w:r>
              <w:rPr>
                <w:rFonts w:ascii="Times New Roman"/>
                <w:b w:val="false"/>
                <w:i w:val="false"/>
                <w:color w:val="000000"/>
                <w:sz w:val="20"/>
              </w:rPr>
              <w:t>
анықтау шегі 0,0001 %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 шығыс сигналы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мұнай өнімдеріндегі хлордың массалық үлесін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1,0 % дейін</w:t>
            </w:r>
          </w:p>
          <w:p>
            <w:pPr>
              <w:spacing w:after="20"/>
              <w:ind w:left="20"/>
              <w:jc w:val="both"/>
            </w:pPr>
            <w:r>
              <w:rPr>
                <w:rFonts w:ascii="Times New Roman"/>
                <w:b w:val="false"/>
                <w:i w:val="false"/>
                <w:color w:val="000000"/>
                <w:sz w:val="20"/>
              </w:rPr>
              <w:t>
анықтау шегі 0,5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 шығыс сигналы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мұздануға қарсы сұйықтықтардың сыну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1,72) 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0,00005 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Сот-құрылыс сараптамасын, заттар мен материалдардың сот сараптамасын жүргізу кезінде зерттелетін объектінің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-тен 35 %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жүргізу кезінде мұнай өнімдерінің детонацияға төзімділігін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98 октан бірлігі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октан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есірткі құралдарының, психотроптық заттардың, олардың аналогтары мен прекурсорларының сот сараптамасын, сот молекулярлық-генетикалық сараптамасын, сот биологиялық, медициналық-криминалистикалық және химиялық-токсикологиялық сараптамаларын жүргізу кезінде қоршаған ортаның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°С-ден 85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есірткі құралдарының, психотроптық заттардың, олардың аналогтары мен прекурсорларының сот сараптамасын, сот молекулярлық-генетикалық сараптамасын, сот биологиялық, медициналық-криминалистикалық және химиялық-токсикологиялық сараптамаларын жүргізу кезінде қоршаған ауаның салыстырмалы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-ден 90 %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сараптамасын, есірткі құралдарының, психотроптық заттардың, олардың анеалогтары мен прекурсорларының сот сараптамасын, сот молекулярлық-генетикалық сараптамасын, сот биологиялық, медициналық-криминалистикалық және химиялық-токсикологиялық сараптамаларын жүргізу кезінде атмосфералық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110)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мЗв – миллизиверт;</w:t>
      </w:r>
    </w:p>
    <w:p>
      <w:pPr>
        <w:spacing w:after="0"/>
        <w:ind w:left="0"/>
        <w:jc w:val="both"/>
      </w:pPr>
      <w:r>
        <w:rPr>
          <w:rFonts w:ascii="Times New Roman"/>
          <w:b w:val="false"/>
          <w:i w:val="false"/>
          <w:color w:val="000000"/>
          <w:sz w:val="28"/>
        </w:rPr>
        <w:t>
      ЭДҚ – гамма және рентгендік сәулеленудің амбиенттік эквивалентті дозасының қуаты;</w:t>
      </w:r>
    </w:p>
    <w:p>
      <w:pPr>
        <w:spacing w:after="0"/>
        <w:ind w:left="0"/>
        <w:jc w:val="both"/>
      </w:pPr>
      <w:r>
        <w:rPr>
          <w:rFonts w:ascii="Times New Roman"/>
          <w:b w:val="false"/>
          <w:i w:val="false"/>
          <w:color w:val="000000"/>
          <w:sz w:val="28"/>
        </w:rPr>
        <w:t>
      мкЗв·с</w:t>
      </w:r>
      <w:r>
        <w:rPr>
          <w:rFonts w:ascii="Times New Roman"/>
          <w:b w:val="false"/>
          <w:i w:val="false"/>
          <w:color w:val="000000"/>
          <w:vertAlign w:val="superscript"/>
        </w:rPr>
        <w:t>-1</w:t>
      </w:r>
      <w:r>
        <w:rPr>
          <w:rFonts w:ascii="Times New Roman"/>
          <w:b w:val="false"/>
          <w:i w:val="false"/>
          <w:color w:val="000000"/>
          <w:sz w:val="28"/>
        </w:rPr>
        <w:t xml:space="preserve"> – сағатына микрозиверт;</w:t>
      </w:r>
    </w:p>
    <w:p>
      <w:pPr>
        <w:spacing w:after="0"/>
        <w:ind w:left="0"/>
        <w:jc w:val="both"/>
      </w:pPr>
      <w:r>
        <w:rPr>
          <w:rFonts w:ascii="Times New Roman"/>
          <w:b w:val="false"/>
          <w:i w:val="false"/>
          <w:color w:val="000000"/>
          <w:sz w:val="28"/>
        </w:rPr>
        <w:t>
      N – өлшемсіз шама, өлшенген шамаға сандық түрде тең ЭДҚ в мк3в/с</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В – өлшемсіз шама, сандық жағынан бета-бөлшектердің ағынының тығыздығының бөліктегі өлшенген мәніне тең.•см-1•мин-1;</w:t>
      </w:r>
    </w:p>
    <w:p>
      <w:pPr>
        <w:spacing w:after="0"/>
        <w:ind w:left="0"/>
        <w:jc w:val="both"/>
      </w:pPr>
      <w:r>
        <w:rPr>
          <w:rFonts w:ascii="Times New Roman"/>
          <w:b w:val="false"/>
          <w:i w:val="false"/>
          <w:color w:val="000000"/>
          <w:sz w:val="28"/>
        </w:rPr>
        <w:t>
      d — өлшенген қашықтық, мм;</w:t>
      </w:r>
    </w:p>
    <w:p>
      <w:pPr>
        <w:spacing w:after="0"/>
        <w:ind w:left="0"/>
        <w:jc w:val="both"/>
      </w:pPr>
      <w:r>
        <w:rPr>
          <w:rFonts w:ascii="Times New Roman"/>
          <w:b w:val="false"/>
          <w:i w:val="false"/>
          <w:color w:val="000000"/>
          <w:sz w:val="28"/>
        </w:rPr>
        <w:t>
      жиі см-1•мин-1 – сантиметрдегі бөлшек минус бірінші градус/минут минус бірінші градус;ч – сағ.;</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м/с</w:t>
      </w:r>
      <w:r>
        <w:rPr>
          <w:rFonts w:ascii="Times New Roman"/>
          <w:b w:val="false"/>
          <w:i w:val="false"/>
          <w:color w:val="000000"/>
          <w:vertAlign w:val="superscript"/>
        </w:rPr>
        <w:t>2</w:t>
      </w:r>
      <w:r>
        <w:rPr>
          <w:rFonts w:ascii="Times New Roman"/>
          <w:b w:val="false"/>
          <w:i w:val="false"/>
          <w:color w:val="000000"/>
          <w:sz w:val="28"/>
        </w:rPr>
        <w:t xml:space="preserve"> – секундына шаршы метр; </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/с – шаршы метр секундына;</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дәлдік класы жоғары - Мемлекетаралық стандарт (бұдан әрі - МЕМСТ) 24104-2001 "Зертханалық таразылар. Жалпы техникалық талаптар";</w:t>
      </w:r>
    </w:p>
    <w:p>
      <w:pPr>
        <w:spacing w:after="0"/>
        <w:ind w:left="0"/>
        <w:jc w:val="both"/>
      </w:pPr>
      <w:r>
        <w:rPr>
          <w:rFonts w:ascii="Times New Roman"/>
          <w:b w:val="false"/>
          <w:i w:val="false"/>
          <w:color w:val="000000"/>
          <w:sz w:val="28"/>
        </w:rPr>
        <w:t>
      арнайы дәлдік класы - МЕМСТ 24104-2001 "Зертханалық таразы. Жалпы техникалық талаптар";</w:t>
      </w:r>
    </w:p>
    <w:p>
      <w:pPr>
        <w:spacing w:after="0"/>
        <w:ind w:left="0"/>
        <w:jc w:val="both"/>
      </w:pPr>
      <w:r>
        <w:rPr>
          <w:rFonts w:ascii="Times New Roman"/>
          <w:b w:val="false"/>
          <w:i w:val="false"/>
          <w:color w:val="000000"/>
          <w:sz w:val="28"/>
        </w:rPr>
        <w:t>
      дәлдік класы орташа - МЕМСТ 24104-2001 "Зертханалық таразы. Жалпы техникалық талаптар";</w:t>
      </w:r>
    </w:p>
    <w:p>
      <w:pPr>
        <w:spacing w:after="0"/>
        <w:ind w:left="0"/>
        <w:jc w:val="both"/>
      </w:pPr>
      <w:r>
        <w:rPr>
          <w:rFonts w:ascii="Times New Roman"/>
          <w:b w:val="false"/>
          <w:i w:val="false"/>
          <w:color w:val="000000"/>
          <w:sz w:val="28"/>
        </w:rPr>
        <w:t>
      дәлдік класы 1 - МЕМСТ 16920-93 "Термометрлер және манометриялық температура түрлендіргіштері. Жалпы техникалық талаптар және сынақ әдістері";</w:t>
      </w:r>
    </w:p>
    <w:p>
      <w:pPr>
        <w:spacing w:after="0"/>
        <w:ind w:left="0"/>
        <w:jc w:val="both"/>
      </w:pPr>
      <w:r>
        <w:rPr>
          <w:rFonts w:ascii="Times New Roman"/>
          <w:b w:val="false"/>
          <w:i w:val="false"/>
          <w:color w:val="000000"/>
          <w:sz w:val="28"/>
        </w:rPr>
        <w:t>
      дәлдік класы 2 - МЕМСТ 166-89 "Калибрлер. Техникалық шарттар";</w:t>
      </w:r>
    </w:p>
    <w:p>
      <w:pPr>
        <w:spacing w:after="0"/>
        <w:ind w:left="0"/>
        <w:jc w:val="both"/>
      </w:pPr>
      <w:r>
        <w:rPr>
          <w:rFonts w:ascii="Times New Roman"/>
          <w:b w:val="false"/>
          <w:i w:val="false"/>
          <w:color w:val="000000"/>
          <w:sz w:val="28"/>
        </w:rPr>
        <w:t>
      дәлдік класы 3 - секундтық шкаланың сыйымдылығы - 60 с., бөлу бағасы-0,2 с; минуттық шкаланың сыйымдылығы - 30 мин., бөлу бағасы-1 мин.;</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xml:space="preserve">
      мг – миллиграмм; </w:t>
      </w:r>
    </w:p>
    <w:p>
      <w:pPr>
        <w:spacing w:after="0"/>
        <w:ind w:left="0"/>
        <w:jc w:val="both"/>
      </w:pPr>
      <w:r>
        <w:rPr>
          <w:rFonts w:ascii="Times New Roman"/>
          <w:b w:val="false"/>
          <w:i w:val="false"/>
          <w:color w:val="000000"/>
          <w:sz w:val="28"/>
        </w:rPr>
        <w:t>
      мг/кг – килограммына миллиграмм;</w:t>
      </w:r>
    </w:p>
    <w:p>
      <w:pPr>
        <w:spacing w:after="0"/>
        <w:ind w:left="0"/>
        <w:jc w:val="both"/>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xml:space="preserve"> куб метрге килограмм; </w:t>
      </w:r>
    </w:p>
    <w:p>
      <w:pPr>
        <w:spacing w:after="0"/>
        <w:ind w:left="0"/>
        <w:jc w:val="both"/>
      </w:pPr>
      <w:r>
        <w:rPr>
          <w:rFonts w:ascii="Times New Roman"/>
          <w:b w:val="false"/>
          <w:i w:val="false"/>
          <w:color w:val="000000"/>
          <w:sz w:val="28"/>
        </w:rPr>
        <w:t xml:space="preserve">
      мл – миллилитр; </w:t>
      </w:r>
    </w:p>
    <w:p>
      <w:pPr>
        <w:spacing w:after="0"/>
        <w:ind w:left="0"/>
        <w:jc w:val="both"/>
      </w:pPr>
      <w:r>
        <w:rPr>
          <w:rFonts w:ascii="Times New Roman"/>
          <w:b w:val="false"/>
          <w:i w:val="false"/>
          <w:color w:val="000000"/>
          <w:sz w:val="28"/>
        </w:rPr>
        <w:t xml:space="preserve">
      мкл – микролитр; </w:t>
      </w:r>
    </w:p>
    <w:p>
      <w:pPr>
        <w:spacing w:after="0"/>
        <w:ind w:left="0"/>
        <w:jc w:val="both"/>
      </w:pPr>
      <w:r>
        <w:rPr>
          <w:rFonts w:ascii="Times New Roman"/>
          <w:b w:val="false"/>
          <w:i w:val="false"/>
          <w:color w:val="000000"/>
          <w:sz w:val="28"/>
        </w:rPr>
        <w:t>
      мг/л – литрге миллиграмм;</w:t>
      </w:r>
    </w:p>
    <w:p>
      <w:pPr>
        <w:spacing w:after="0"/>
        <w:ind w:left="0"/>
        <w:jc w:val="both"/>
      </w:pPr>
      <w:r>
        <w:rPr>
          <w:rFonts w:ascii="Times New Roman"/>
          <w:b w:val="false"/>
          <w:i w:val="false"/>
          <w:color w:val="000000"/>
          <w:sz w:val="28"/>
        </w:rPr>
        <w:t xml:space="preserve">
      hзс – өлшенген бетон жамылғысының қалыңдығы; </w:t>
      </w:r>
    </w:p>
    <w:p>
      <w:pPr>
        <w:spacing w:after="0"/>
        <w:ind w:left="0"/>
        <w:jc w:val="both"/>
      </w:pPr>
      <w:r>
        <w:rPr>
          <w:rFonts w:ascii="Times New Roman"/>
          <w:b w:val="false"/>
          <w:i w:val="false"/>
          <w:color w:val="000000"/>
          <w:sz w:val="28"/>
        </w:rPr>
        <w:t>
      Х – зерттелетін объектінің қалыңдығы;</w:t>
      </w:r>
    </w:p>
    <w:p>
      <w:pPr>
        <w:spacing w:after="0"/>
        <w:ind w:left="0"/>
        <w:jc w:val="both"/>
      </w:pPr>
      <w:r>
        <w:rPr>
          <w:rFonts w:ascii="Times New Roman"/>
          <w:b w:val="false"/>
          <w:i w:val="false"/>
          <w:color w:val="000000"/>
          <w:sz w:val="28"/>
        </w:rPr>
        <w:t>
      L – сегменттегі толық және толық емес есептегіштердің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o</w:t>
      </w:r>
      <w:r>
        <w:rPr>
          <w:rFonts w:ascii="Times New Roman"/>
          <w:b w:val="false"/>
          <w:i w:val="false"/>
          <w:color w:val="000000"/>
          <w:sz w:val="28"/>
        </w:rPr>
        <w:t>S – қант дәрежесі;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o</w:t>
      </w:r>
      <w:r>
        <w:rPr>
          <w:rFonts w:ascii="Times New Roman"/>
          <w:b w:val="false"/>
          <w:i w:val="false"/>
          <w:color w:val="000000"/>
          <w:sz w:val="28"/>
        </w:rPr>
        <w:t>С – градус Цельсия;</w:t>
      </w:r>
    </w:p>
    <w:p>
      <w:pPr>
        <w:spacing w:after="0"/>
        <w:ind w:left="0"/>
        <w:jc w:val="both"/>
      </w:pPr>
      <w:r>
        <w:rPr>
          <w:rFonts w:ascii="Times New Roman"/>
          <w:b w:val="false"/>
          <w:i w:val="false"/>
          <w:color w:val="000000"/>
          <w:sz w:val="28"/>
        </w:rPr>
        <w:t xml:space="preserve">
      Н – ақаудың өлшенген тереңдігінің сандық мәні (п. 6); </w:t>
      </w:r>
    </w:p>
    <w:p>
      <w:pPr>
        <w:spacing w:after="0"/>
        <w:ind w:left="0"/>
        <w:jc w:val="both"/>
      </w:pPr>
      <w:r>
        <w:rPr>
          <w:rFonts w:ascii="Times New Roman"/>
          <w:b w:val="false"/>
          <w:i w:val="false"/>
          <w:color w:val="000000"/>
          <w:sz w:val="28"/>
        </w:rPr>
        <w:t>
      Н – Ньютон (п. 13);</w:t>
      </w:r>
    </w:p>
    <w:p>
      <w:pPr>
        <w:spacing w:after="0"/>
        <w:ind w:left="0"/>
        <w:jc w:val="both"/>
      </w:pPr>
      <w:r>
        <w:rPr>
          <w:rFonts w:ascii="Times New Roman"/>
          <w:b w:val="false"/>
          <w:i w:val="false"/>
          <w:color w:val="000000"/>
          <w:sz w:val="28"/>
        </w:rPr>
        <w:t>
      кН – килоНьютон;</w:t>
      </w:r>
    </w:p>
    <w:p>
      <w:pPr>
        <w:spacing w:after="0"/>
        <w:ind w:left="0"/>
        <w:jc w:val="both"/>
      </w:pPr>
      <w:r>
        <w:rPr>
          <w:rFonts w:ascii="Times New Roman"/>
          <w:b w:val="false"/>
          <w:i w:val="false"/>
          <w:color w:val="000000"/>
          <w:sz w:val="28"/>
        </w:rPr>
        <w:t xml:space="preserve">
      МПа – мегапаскаль; </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xml:space="preserve">
      Гц – герц; </w:t>
      </w:r>
    </w:p>
    <w:p>
      <w:pPr>
        <w:spacing w:after="0"/>
        <w:ind w:left="0"/>
        <w:jc w:val="both"/>
      </w:pPr>
      <w:r>
        <w:rPr>
          <w:rFonts w:ascii="Times New Roman"/>
          <w:b w:val="false"/>
          <w:i w:val="false"/>
          <w:color w:val="000000"/>
          <w:sz w:val="28"/>
        </w:rPr>
        <w:t>
      nD - сары натрий сызығынан өлшенген сыну көрсеткішінің мәні;</w:t>
      </w:r>
    </w:p>
    <w:p>
      <w:pPr>
        <w:spacing w:after="0"/>
        <w:ind w:left="0"/>
        <w:jc w:val="both"/>
      </w:pPr>
      <w:r>
        <w:rPr>
          <w:rFonts w:ascii="Times New Roman"/>
          <w:b w:val="false"/>
          <w:i w:val="false"/>
          <w:color w:val="000000"/>
          <w:sz w:val="28"/>
        </w:rPr>
        <w:t>
      Т – өткізгіштігі коэффициенті;</w:t>
      </w:r>
    </w:p>
    <w:p>
      <w:pPr>
        <w:spacing w:after="0"/>
        <w:ind w:left="0"/>
        <w:jc w:val="both"/>
      </w:pPr>
      <w:r>
        <w:rPr>
          <w:rFonts w:ascii="Times New Roman"/>
          <w:b w:val="false"/>
          <w:i w:val="false"/>
          <w:color w:val="000000"/>
          <w:sz w:val="28"/>
        </w:rPr>
        <w:t>
      рХ (рН) – ерітіндідегі иондардың (сутегі) белсенділік көрсеткіші;</w:t>
      </w:r>
    </w:p>
    <w:p>
      <w:pPr>
        <w:spacing w:after="0"/>
        <w:ind w:left="0"/>
        <w:jc w:val="both"/>
      </w:pPr>
      <w:r>
        <w:rPr>
          <w:rFonts w:ascii="Times New Roman"/>
          <w:b w:val="false"/>
          <w:i w:val="false"/>
          <w:color w:val="000000"/>
          <w:sz w:val="28"/>
        </w:rPr>
        <w:t>
      ССА – салыстырмалы стандартты ауытқу;</w:t>
      </w:r>
    </w:p>
    <w:p>
      <w:pPr>
        <w:spacing w:after="0"/>
        <w:ind w:left="0"/>
        <w:jc w:val="both"/>
      </w:pPr>
      <w:r>
        <w:rPr>
          <w:rFonts w:ascii="Times New Roman"/>
          <w:b w:val="false"/>
          <w:i w:val="false"/>
          <w:color w:val="000000"/>
          <w:sz w:val="28"/>
        </w:rPr>
        <w:t>
      Октан бірлігі – октан бірілігі.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