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ec16" w14:textId="a2de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конкурсына қатысу үшін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10 қазандағы № 107-1677 қаулысы. Астана қаласының Әділет департаментінде 2018 жылғы 7 қарашада № 1190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10 қазандағы</w:t>
            </w:r>
            <w:r>
              <w:br/>
            </w:r>
            <w:r>
              <w:rPr>
                <w:rFonts w:ascii="Times New Roman"/>
                <w:b w:val="false"/>
                <w:i w:val="false"/>
                <w:color w:val="000000"/>
                <w:sz w:val="20"/>
              </w:rPr>
              <w:t>№ 107-1677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"Үздік педагог" атағын беру конкурсына қатысу үшін құжаттар қабылдау" мемлекеттік қызмет (бұдан әрі – мемлекеттік қызмет) "Астана қаласының Білім басқармасы" мемлекеттік мекемесімен (бұдан әрі – қызмет көрсетуші) көрсетіледі. "Үздік педагог" атағын беру конкурсына қатысу үшін құжаттар қабылдау" регламенті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бұйрығымен (Нормативтiк құқықтық актiлердi мемлекеттiк тіркеу тiзiлiмiнде № 11058 болып тіркелген)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p>
    <w:bookmarkEnd w:id="7"/>
    <w:bookmarkStart w:name="z10" w:id="8"/>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қызметтің нәтижесі – "Үздік педагог" атағын беру конкурсына қатысу үшін құжаттарды қабылдау туралы еркін нысандағы қолхат,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9"/>
    <w:bookmarkStart w:name="z12" w:id="10"/>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10"/>
    <w:bookmarkStart w:name="z13" w:id="11"/>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5. Көрсетілетін қызметті берушінің көрсетілетін қызметті алушыдан өтініш пен Стандарттың 9-тармағында көзделген қажетті құжаттарды алуы мемлекеттік көрсетілетін қызмет бойынша рәсімді (іс-қимылды) бастау үшін негіз болып табылады.</w:t>
      </w:r>
    </w:p>
    <w:bookmarkEnd w:id="12"/>
    <w:bookmarkStart w:name="z15" w:id="13"/>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I кезең – Астана қаласы білім беру ұйымдарының педагог қызметкерлері кеңсенің жауапты маманына құжаттар пакетін тапсырған кезде – жыл сайын сәуірде;</w:t>
      </w:r>
    </w:p>
    <w:p>
      <w:pPr>
        <w:spacing w:after="0"/>
        <w:ind w:left="0"/>
        <w:jc w:val="both"/>
      </w:pPr>
      <w:r>
        <w:rPr>
          <w:rFonts w:ascii="Times New Roman"/>
          <w:b w:val="false"/>
          <w:i w:val="false"/>
          <w:color w:val="000000"/>
          <w:sz w:val="28"/>
        </w:rPr>
        <w:t xml:space="preserve">
      1) кеңсенің жауапты маманы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және тіркейді және құжаттарды қабылдау туралы қолхат береді – 20 (жиырма) минут.</w:t>
      </w:r>
    </w:p>
    <w:p>
      <w:pPr>
        <w:spacing w:after="0"/>
        <w:ind w:left="0"/>
        <w:jc w:val="both"/>
      </w:pPr>
      <w:r>
        <w:rPr>
          <w:rFonts w:ascii="Times New Roman"/>
          <w:b w:val="false"/>
          <w:i w:val="false"/>
          <w:color w:val="000000"/>
          <w:sz w:val="28"/>
        </w:rPr>
        <w:t>
      II кезең – кеңсенің жауапты маманы құжаттарды Қазақстан Республикасының Білім және ғылым министрлігіне тапсырады – жыл сайын тамыз-қыркүйекте.</w:t>
      </w:r>
    </w:p>
    <w:bookmarkStart w:name="z16" w:id="14"/>
    <w:p>
      <w:pPr>
        <w:spacing w:after="0"/>
        <w:ind w:left="0"/>
        <w:jc w:val="left"/>
      </w:pPr>
      <w:r>
        <w:rPr>
          <w:rFonts w:ascii="Times New Roman"/>
          <w:b/>
          <w:i w:val="false"/>
          <w:color w:val="000000"/>
        </w:rPr>
        <w:t xml:space="preserve"> 3. Мемлекеттік көрсетілетін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көрсетілетін қызметті берушінің кеңсе қызметкері.</w:t>
      </w:r>
    </w:p>
    <w:bookmarkStart w:name="z18" w:id="16"/>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бөлімшелерінің (қызметкерлерінің) әрбір рәсімі (іс-қимылы) реттілігінің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Мемлекеттік көрсетілетін қызметті көрсету бизнес-процестерінің анықтамалығы</w:t>
      </w:r>
    </w:p>
    <w:bookmarkEnd w:id="17"/>
    <w:p>
      <w:pPr>
        <w:spacing w:after="0"/>
        <w:ind w:left="0"/>
        <w:jc w:val="left"/>
      </w:pPr>
      <w:r>
        <w:br/>
      </w:r>
    </w:p>
    <w:p>
      <w:pPr>
        <w:spacing w:after="0"/>
        <w:ind w:left="0"/>
        <w:jc w:val="both"/>
      </w:pPr>
      <w:r>
        <w:drawing>
          <wp:inline distT="0" distB="0" distL="0" distR="0">
            <wp:extent cx="77597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