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9b55" w14:textId="1599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объектілерінің тиісті жылға арналған тізбесін қалыптастыру және сыртқы мемлекеттік аудит жүргізу кезінде қолданылатын тәуекелдерді басқарудың үлгілік жүйесін бекіту туралы" Республикалық бюджеттің атқарылуын бақылау жөніндегі есеп комитетінің 2015 жылғы 28 қарашадағы № 13-НҚ нормативтік қаулысына өзгеріс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7 желтоқсандағы № 21-НҚ нормативтік қаулысы. Қазақстан Республикасының Әділет министрлігінде 2018 жылғы 12 желтоқсанда № 17927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аудит және қаржылық бақылау объектілерінің тиісті жылға арналған тізбесін қалыптастыру және сыртқы мемлекеттік аудит жүргізу кезінде қолданылатын тәуекелдерді басқарудың үлгілік жүйесін бекіту туралы" Республикалық бюджеттің атқарылуын бақылау жөніндегі есеп комитетінің 2015 жылғы 28 қарашадағы № 13-НҚ нормативтік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Әділет министрлігінде 2015 жылғы 23 желтоқсанда № 12476 болып тіркелген, "Әділет" ақпараттық-құқықтық жүйесінде 2016 жылғы 5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 және қаржылық бақылау объектілерінің тиісті жылға арналған тізбесін қалыптастыру және сыртқы мемлекеттік аудит жүргізу кезінде қолданылатын тәуекелдерді басқарудың үлгілік </w:t>
      </w:r>
      <w:r>
        <w:rPr>
          <w:rFonts w:ascii="Times New Roman"/>
          <w:b w:val="false"/>
          <w:i w:val="false"/>
          <w:color w:val="000000"/>
          <w:sz w:val="28"/>
        </w:rPr>
        <w:t>жүйесінде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"13. Тәуекелдер мен олардың өлшемшарттары мемлекеттік аудит объектілерінің есептік деректеріне және Қазақстан Республикасының заңнамасын сақтай отырып, анық дереккөздерден алынған құжаттарға (материалдар мен ақпарат) негізделеді.".</w:t>
      </w:r>
    </w:p>
    <w:bookmarkEnd w:id="3"/>
    <w:bookmarkStart w:name="z6" w:id="4"/>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нормативтік қаулы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6"/>
    <w:bookmarkStart w:name="z9" w:id="7"/>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7"/>
    <w:bookmarkStart w:name="z10" w:id="8"/>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End w:id="8"/>
    <w:bookmarkStart w:name="z11" w:id="9"/>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 xml:space="preserve">есеп комитетінің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