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4b07" w14:textId="53e4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шілдедегі № 248 бұйрығы. Қазақстан Республикасының Әділет министрлігінде 2018 жылғы 26 шілдеде № 17237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мiндеттемелерiнiң лимитiн айқындау";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лимитін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6"/>
    <w:bookmarkStart w:name="z12" w:id="7"/>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есептеуге сәйкес белгіленеді:</w:t>
      </w:r>
    </w:p>
    <w:bookmarkEnd w:id="7"/>
    <w:p>
      <w:pPr>
        <w:spacing w:after="0"/>
        <w:ind w:left="0"/>
        <w:jc w:val="both"/>
      </w:pPr>
      <w:r>
        <w:rPr>
          <w:rFonts w:ascii="Times New Roman"/>
          <w:b w:val="false"/>
          <w:i w:val="false"/>
          <w:color w:val="000000"/>
          <w:sz w:val="28"/>
        </w:rPr>
        <w:t>
      ScolLG &lt; InLB * k,</w:t>
      </w:r>
    </w:p>
    <w:bookmarkStart w:name="z13" w:id="8"/>
    <w:p>
      <w:pPr>
        <w:spacing w:after="0"/>
        <w:ind w:left="0"/>
        <w:jc w:val="both"/>
      </w:pPr>
      <w:r>
        <w:rPr>
          <w:rFonts w:ascii="Times New Roman"/>
          <w:b w:val="false"/>
          <w:i w:val="false"/>
          <w:color w:val="000000"/>
          <w:sz w:val="28"/>
        </w:rPr>
        <w:t>
      мұнда:</w:t>
      </w:r>
    </w:p>
    <w:bookmarkEnd w:id="8"/>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лимитінің және қабылданған және өтелмеген мемлекеттік-жекешелік әріптестік жобалары бойынша мемлекеттік міндеттемелерінің, оның ішінде мемлекеттiк концессиялық мiндеттемелерiнің сомасынан тұратын, тиісті қаржы жылына арналған жергілікті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мiндеттемелерiнің лимиті;</w:t>
      </w:r>
    </w:p>
    <w:p>
      <w:pPr>
        <w:spacing w:after="0"/>
        <w:ind w:left="0"/>
        <w:jc w:val="both"/>
      </w:pPr>
      <w:r>
        <w:rPr>
          <w:rFonts w:ascii="Times New Roman"/>
          <w:b w:val="false"/>
          <w:i w:val="false"/>
          <w:color w:val="000000"/>
          <w:sz w:val="28"/>
        </w:rPr>
        <w:t>
      InLB – жалпы сипаттағы трансферттерді ескере отырып, жергілікті атқарушы органның меншікті кірістерінің көлемі;</w:t>
      </w:r>
    </w:p>
    <w:p>
      <w:pPr>
        <w:spacing w:after="0"/>
        <w:ind w:left="0"/>
        <w:jc w:val="both"/>
      </w:pPr>
      <w:r>
        <w:rPr>
          <w:rFonts w:ascii="Times New Roman"/>
          <w:b w:val="false"/>
          <w:i w:val="false"/>
          <w:color w:val="000000"/>
          <w:sz w:val="28"/>
        </w:rPr>
        <w:t>
      k – облыстардың жергілікті атқарушы органдары, республикалық маңызы бар қалалар, астана үшін түзету коэффициенті (облыстардың жергілікті атқарушы органдары үшін – k = 0,2; республикалық маңызы бар қалалар, астана үшін k = 0,5).</w:t>
      </w:r>
    </w:p>
    <w:bookmarkStart w:name="z14" w:id="9"/>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мемлекеттiк концессиялық міндеттемелерді қабылдау лимиті мынадай есептеуге сәйкес жүргізіледі:</w:t>
      </w:r>
    </w:p>
    <w:bookmarkEnd w:id="9"/>
    <w:p>
      <w:pPr>
        <w:spacing w:after="0"/>
        <w:ind w:left="0"/>
        <w:jc w:val="both"/>
      </w:pPr>
      <w:r>
        <w:rPr>
          <w:rFonts w:ascii="Times New Roman"/>
          <w:b w:val="false"/>
          <w:i w:val="false"/>
          <w:color w:val="000000"/>
          <w:sz w:val="28"/>
        </w:rPr>
        <w:t>
      LmocolLG &lt; ScolLG– CLLG,</w:t>
      </w:r>
    </w:p>
    <w:bookmarkStart w:name="z15" w:id="10"/>
    <w:p>
      <w:pPr>
        <w:spacing w:after="0"/>
        <w:ind w:left="0"/>
        <w:jc w:val="both"/>
      </w:pPr>
      <w:r>
        <w:rPr>
          <w:rFonts w:ascii="Times New Roman"/>
          <w:b w:val="false"/>
          <w:i w:val="false"/>
          <w:color w:val="000000"/>
          <w:sz w:val="28"/>
        </w:rPr>
        <w:t>
      мұнда:</w:t>
      </w:r>
    </w:p>
    <w:bookmarkEnd w:id="10"/>
    <w:p>
      <w:pPr>
        <w:spacing w:after="0"/>
        <w:ind w:left="0"/>
        <w:jc w:val="both"/>
      </w:pPr>
      <w:r>
        <w:rPr>
          <w:rFonts w:ascii="Times New Roman"/>
          <w:b w:val="false"/>
          <w:i w:val="false"/>
          <w:color w:val="000000"/>
          <w:sz w:val="28"/>
        </w:rPr>
        <w:t>
      LmocolLG – тиісті қаржы жылына арналған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w:t>
      </w:r>
    </w:p>
    <w:p>
      <w:pPr>
        <w:spacing w:after="0"/>
        <w:ind w:left="0"/>
        <w:jc w:val="both"/>
      </w:pPr>
      <w:r>
        <w:rPr>
          <w:rFonts w:ascii="Times New Roman"/>
          <w:b w:val="false"/>
          <w:i w:val="false"/>
          <w:color w:val="000000"/>
          <w:sz w:val="28"/>
        </w:rPr>
        <w:t>
      CLLG – тиісті қаржы жылының басындағы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мемлекеттiк концессиялық мiндеттемелерi.</w:t>
      </w:r>
    </w:p>
    <w:p>
      <w:pPr>
        <w:spacing w:after="0"/>
        <w:ind w:left="0"/>
        <w:jc w:val="both"/>
      </w:pPr>
      <w:r>
        <w:rPr>
          <w:rFonts w:ascii="Times New Roman"/>
          <w:b w:val="false"/>
          <w:i w:val="false"/>
          <w:color w:val="000000"/>
          <w:sz w:val="28"/>
        </w:rPr>
        <w:t xml:space="preserve">
      Бұл ретте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органдардың болжамды кірістері азайған жағдайда, осы лимит шеңберінде міндеттемелер барлық сомаға қабылданған жағдайда алдыңғы жылдың бекітілген қабылдау лимиті қолданылады.". </w:t>
      </w:r>
    </w:p>
    <w:bookmarkStart w:name="z16" w:id="11"/>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13"/>
    <w:bookmarkStart w:name="z19" w:id="1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12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