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4cc2" w14:textId="75d4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 Әскери өкілдіктер орталығының лауазымдарына біліктілік талаптарын бекіту туралы" Қазақстан Республикасы Қорғаныс министрінің 2015 жылғы 16 наурыздағы № 140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Қорғаныс министрінің 2018 жылғы 11 маусымдағы № 397 бұйрығы. Қазақстан Республикасының Әділет министрлігінде 2018 жылғы 25 маусымда № 17113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Қорғаныс министрлігі Әскери өкілдіктер орталығының лауазымдарына біліктілік талаптарын бекіту туралы" Қазақстан Республикасы Қорғаныс министрінің 2015 жылғы 16 наурыздағы № 140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10745 болып тіркелген, "Әділет" ақпараттық-құқықтық жүйесінде 2015 жылғы 4 мамырда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Әскери өкілдіктер орталығы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Ә.Б. Сқақовқа жүктелсін.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Қорғаныс министрі генерал-полковник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