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8025" w14:textId="f5a8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Шығыс Қазақстан облыстары және Астана қаласы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24 қаңтардағы № 53 бұйрығы. Қазақстан Республикасының Әділет министрлігінде 2018 жылғы 5 ақпанда № 16307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Павлодар, Шығыс Қазақстан облыстары және Астана қаласы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2018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көлемдері:</w:t>
      </w:r>
    </w:p>
    <w:bookmarkEnd w:id="5"/>
    <w:bookmarkStart w:name="z7" w:id="6"/>
    <w:p>
      <w:pPr>
        <w:spacing w:after="0"/>
        <w:ind w:left="0"/>
        <w:jc w:val="both"/>
      </w:pPr>
      <w:r>
        <w:rPr>
          <w:rFonts w:ascii="Times New Roman"/>
          <w:b w:val="false"/>
          <w:i w:val="false"/>
          <w:color w:val="000000"/>
          <w:sz w:val="28"/>
        </w:rPr>
        <w:t>
      Павлодар облысы – 6 416 463 000 (алты миллиард төрт жүз он алты миллион төрт жүз алпыс үш мың) теңгеден артық емес;</w:t>
      </w:r>
    </w:p>
    <w:bookmarkEnd w:id="6"/>
    <w:bookmarkStart w:name="z8" w:id="7"/>
    <w:p>
      <w:pPr>
        <w:spacing w:after="0"/>
        <w:ind w:left="0"/>
        <w:jc w:val="both"/>
      </w:pPr>
      <w:r>
        <w:rPr>
          <w:rFonts w:ascii="Times New Roman"/>
          <w:b w:val="false"/>
          <w:i w:val="false"/>
          <w:color w:val="000000"/>
          <w:sz w:val="28"/>
        </w:rPr>
        <w:t>
      Шығыс Қазақстан облысы – 6 705 048 000 (алты миллиард жеті жүз бес миллион қырық сегіз мың) теңгеден артық емес;</w:t>
      </w:r>
    </w:p>
    <w:bookmarkEnd w:id="7"/>
    <w:bookmarkStart w:name="z9" w:id="8"/>
    <w:p>
      <w:pPr>
        <w:spacing w:after="0"/>
        <w:ind w:left="0"/>
        <w:jc w:val="both"/>
      </w:pPr>
      <w:r>
        <w:rPr>
          <w:rFonts w:ascii="Times New Roman"/>
          <w:b w:val="false"/>
          <w:i w:val="false"/>
          <w:color w:val="000000"/>
          <w:sz w:val="28"/>
        </w:rPr>
        <w:t>
      Астана қаласы – 11 100 000 000 (он бір миллиард жүз миллион) теңгеден артық емес;</w:t>
      </w:r>
    </w:p>
    <w:bookmarkEnd w:id="8"/>
    <w:bookmarkStart w:name="z10" w:id="9"/>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