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15f7" w14:textId="4411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әкімдігінің 2016 жылғы 21 маусымдағы № 189 "Азаматтық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2017 жылғы 27 қыркүйектегі № 353 қаулысы. Қостанай облысының Әділет департаментінде 2017 жылғы 17 қазанда № 7251 болып тіркелді. Күші жойылды Қостанай облысы Федоров ауданы әкімдігінің 2019 жылғы 3 қаңтардағы № 356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Қостанай облысы Федоров ауданы әкімдігінің 03.01.2019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әкімдігінің 2016 жылғы 21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қаулысына (Нормативтік құқықтық актілерді мемлекеттік тіркеу тізілімінде № 6543 болып тіркелген, 2016 жылғы 04 тамызда "Федоровские новости" газетінде жарияланған)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7) және 8) тармақшалармен толықтырылсын: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әлеуметтік жұмыс жөніндегі консультант;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ассистент.".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19) тармақшасымен толықтырылсын: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интернат меңгерушісі.".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Федоров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аудандық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Исенгазин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27 қыркүйек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