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e2ff" w14:textId="185e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55 "Науырзым ауданының 2017-2019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2017 жылғы 29 қарашадағы № 139 шешімі. Қостанай облысының Әділет департаментінде 2017 жылғы 12 желтоқсанда № 7361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"Науырзым ауданының 2017-2019 жылдарға арналған аудандық бюджеті туралы" шешіміне (Нормативтік құқықтық актілерді мемлекеттік тіркеу тізілімінде № 6779 тіркелген, 2017 жылғы 16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Науырзым ауданының 2017-2019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1660145,6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246451,0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4519,0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1409175,6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1720701,5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3948,5 мың теңге, оның iшiнде: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7328,5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3380,0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-64504,4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64504,4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7328,5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3380,0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60555,9 мың теңге.";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2017 жылға арналған аудандық бюджетте республикалық бюджеттен ағымдағы нысаналы трансферттер түсімінің көзделгені ескерілсін, оның ішінде: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1157,1 мың теңге сомасында;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мүгедектердің құқықтарын қамтамасыз ету және өмір сүру сапасын жақсарту жөніндегі 2012-2018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1711,0 мың теңге сомасында;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"Өрлеу" жобасы бойынша шартты ақшалай көмекті енгізуге 1940,0 мың теңге сомасында.".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2017 жылға арналған аудандық бюджетте облыстық бюджеттен нысаналы даму трансферттер түсімінің көзделгені ескерілсін,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10737,0 мың теңге сомасында.".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2017 жылға арналған аудандық бюджетте облыстық бюджеттен ағымдағы нысаналы трансферттер түсімінің көзделгені ескерілсін, оның ішінде: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 6035,0 мың теңге сомасында;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жылы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кәсіби даярлауға бағытталған оқуын аяқтауға 1453,0 мың теңге сомасында;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қоныс аударушылар және оралмандар үшін тұрғын үйді жалдау (жалға алу) үшін шығыстарды өтеуге 574,0 мың теңге сомасында;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квазимемлекеттік сектор субъектілеріне халықаралық қаржылық есептілік стандарттарға сәйкес бас бухгалтерлерді оқытуға 340,0 мың теңге сомасында;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 892,5 мың теңге сомасында;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отырып, биологиялық қалдықтарды пайдаға асыруға 3213,0 мың теңге сомасында;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2017-2021 жылдарға арналған нәтижелі жұмыспен қамту және жаппай кәсіпкерлікті дамыту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еңбек нарығында қажетті кәсіптер мен дағдылар бойынша жұмысшы кадрларын, жұмылдыру орталықтарында оқытуды бірге қоса алғанда, қысқа мерзімді кәсіптік оқытуға 6544,0 мың теңге сомасында;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"Шолақсай ауылына кіреберіс жол" КР-NZ-4 аудандық маңызы бар автомобиль жолын орташа жөндеуге 43680,0 мың теңге сомасында.".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"Науырзым ауданының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 Дехтярева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29 қараша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№ 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2017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1660145,6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1409175,6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1409175,6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1720701,5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879247,9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733061,6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699600,1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688522,1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107898,1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158225,2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-64504,4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