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984a" w14:textId="e5f9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Жаңабұлақ ауылдық округі әкімінің 2016 жылғы 13 сәуірдегі № 10 шешімі. Батыс Қазақстан облысының Әділет департаментінде 2016 жылғы 26 сәуірде № 4348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жылғы 10 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"Ветеринарлық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2015 жылғы 20 қазандағы № 397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Жаңабұлақ ауылдық округі әкімінің 2015 жылғы 14 қыркүйектегі "Ақжайық ауданы Жаңабұлақ ауылдық округінің Чернышов қыстағы аумағында карантин белгілеу туралы" (Нормативтік құқықтық актілерді мемлекеттік тіркеу тізілімінде № 4046 тіркелген, 2015 жылғы 25 қыркүйекте "Әділет" ақпараттық-құқықтық жүйесінде жарияланған) № 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Ақжайық ауданы Жаңабұлақ ауылдық округінің Чернышов қыстағы аумағында карантин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Жаңабұлақ ауылдық округі әкімі аппаратының бас маманы (Т. Қ. Есенғалиев)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Жаңабұлақ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Н. Мустаев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