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0edf" w14:textId="89d0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2016 жылғы 10 наурыздағы № 60-8 шешімі. Жамбыл облысы Әділет департаментінде 2016 жылғы 8 сәуірде № 3024 болып тіркелді. Күші жойылды - Жамбыл облысы Сарысу аудандық мәслихатының 2017 жылғы 5 сәуірдегі № 14-8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05.04.2017 </w:t>
      </w:r>
      <w:r>
        <w:rPr>
          <w:rFonts w:ascii="Times New Roman"/>
          <w:b w:val="false"/>
          <w:i w:val="false"/>
          <w:color w:val="ff0000"/>
          <w:sz w:val="28"/>
        </w:rPr>
        <w:t>№ 14-8</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Сарысу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Сарысу аудандық мәслихат аппаратының басшысы Қ. Құлыбековке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Садуақасов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60-8 шешімімен бекітілген</w:t>
            </w:r>
          </w:p>
        </w:tc>
      </w:tr>
    </w:tbl>
    <w:bookmarkStart w:name="z13" w:id="0"/>
    <w:p>
      <w:pPr>
        <w:spacing w:after="0"/>
        <w:ind w:left="0"/>
        <w:jc w:val="left"/>
      </w:pPr>
      <w:r>
        <w:rPr>
          <w:rFonts w:ascii="Times New Roman"/>
          <w:b/>
          <w:i w:val="false"/>
          <w:color w:val="000000"/>
        </w:rPr>
        <w:t xml:space="preserve"> Сарысу аудандық мәслихаты аппаратының "Б" корпусы мемлекеттік әкімшілік қызметшілерінің қызметін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"Сарысу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бұйрығына сәйкес әзірленді және "Сарысу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Сарысу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Сарысу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99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3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4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748"/>
        <w:gridCol w:w="3907"/>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64"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80"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78"/>
        <w:gridCol w:w="4806"/>
        <w:gridCol w:w="2604"/>
        <w:gridCol w:w="1420"/>
        <w:gridCol w:w="91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678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br/>
            </w:r>
            <w:r>
              <w:rPr>
                <w:rFonts w:ascii="Times New Roman"/>
                <w:b w:val="false"/>
                <w:i w:val="false"/>
                <w:color w:val="000000"/>
                <w:sz w:val="20"/>
              </w:rPr>
              <w:t>
</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9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1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