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78af" w14:textId="3317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тұрмыстық қатты қалдықтарды жинау, әкету, көму және кәдеге жарату тарифтерін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2016 жылғы 17 тамыздағы № 4-3 шешімі. Жамбыл облысы Әділет департаментінде 2016 жылғы 31 тамызда № 3156 болып тіркелді. Күші жойылды - Жамбыл облысы Мойынқұм аудандық мәслихатының 2020 жылғы 26 мамырдағы № 59-5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Мойынқұм аудандық мәслихатының 26.05.2020 </w:t>
      </w:r>
      <w:r>
        <w:rPr>
          <w:rFonts w:ascii="Times New Roman"/>
          <w:b w:val="false"/>
          <w:i w:val="false"/>
          <w:color w:val="ff0000"/>
          <w:sz w:val="28"/>
        </w:rPr>
        <w:t>№ 59-5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Мойынқұм ауданы бойынша тұрмыстық қатты қалдықтарды жинау, әкету, көму және кәдеге жарату тарифтер </w:t>
      </w:r>
      <w:r>
        <w:rPr>
          <w:rFonts w:ascii="Times New Roman"/>
          <w:b w:val="false"/>
          <w:i w:val="false"/>
          <w:color w:val="000000"/>
          <w:sz w:val="28"/>
        </w:rPr>
        <w:t>қосымша</w:t>
      </w:r>
      <w:r>
        <w:rPr>
          <w:rFonts w:ascii="Times New Roman"/>
          <w:b w:val="false"/>
          <w:i w:val="false"/>
          <w:color w:val="000000"/>
          <w:sz w:val="28"/>
        </w:rPr>
        <w:t xml:space="preserve"> сәйкес бекітілсін.</w:t>
      </w:r>
    </w:p>
    <w:bookmarkEnd w:id="2"/>
    <w:bookmarkStart w:name="z8" w:id="3"/>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күнен бастап күшіне енеді және 2016 жылдың 1 қазанынан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 Акимов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4-3 шешімінің қосымшасы</w:t>
            </w:r>
          </w:p>
        </w:tc>
      </w:tr>
    </w:tbl>
    <w:bookmarkStart w:name="z13" w:id="5"/>
    <w:p>
      <w:pPr>
        <w:spacing w:after="0"/>
        <w:ind w:left="0"/>
        <w:jc w:val="left"/>
      </w:pPr>
      <w:r>
        <w:rPr>
          <w:rFonts w:ascii="Times New Roman"/>
          <w:b/>
          <w:i w:val="false"/>
          <w:color w:val="000000"/>
        </w:rPr>
        <w:t xml:space="preserve"> Мойынқұм ауданы бойынша тұрмыстық қатты қалдықтарды жинау, әкету, көму және кәдеге жарату тарифтер</w:t>
      </w:r>
    </w:p>
    <w:bookmarkEnd w:id="5"/>
    <w:tbl>
      <w:tblPr>
        <w:tblW w:w="0" w:type="auto"/>
        <w:tblCellSpacing w:w="0" w:type="auto"/>
        <w:tblBorders>
          <w:top w:val="none"/>
          <w:left w:val="none"/>
          <w:bottom w:val="none"/>
          <w:right w:val="none"/>
          <w:insideH w:val="none"/>
          <w:insideV w:val="none"/>
        </w:tblBorders>
      </w:tblPr>
      <w:tblGrid>
        <w:gridCol w:w="1414"/>
        <w:gridCol w:w="3494"/>
        <w:gridCol w:w="2246"/>
        <w:gridCol w:w="5146"/>
      </w:tblGrid>
      <w:tr>
        <w:trPr>
          <w:trHeight w:val="30" w:hRule="atLeast"/>
        </w:trPr>
        <w:tc>
          <w:tcPr>
            <w:tcW w:w="1414" w:type="dxa"/>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w:t>
            </w:r>
          </w:p>
          <w:bookmarkEnd w:id="6"/>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бірлігі</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414" w:type="dxa"/>
            <w:vMerge w:val="restart"/>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1</w:t>
            </w:r>
          </w:p>
          <w:bookmarkEnd w:id="7"/>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w:t>
            </w:r>
          </w:p>
        </w:tc>
      </w:tr>
      <w:tr>
        <w:trPr>
          <w:trHeight w:val="30" w:hRule="atLeast"/>
        </w:trPr>
        <w:tc>
          <w:tcPr>
            <w:tcW w:w="0" w:type="auto"/>
            <w:vMerge/>
            <w:tcBorders>
              <w:top w:val="nil"/>
            </w:tcBorders>
          </w:tcPr>
          <w:p/>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399,45</w:t>
            </w:r>
          </w:p>
        </w:tc>
      </w:tr>
      <w:tr>
        <w:trPr>
          <w:trHeight w:val="30" w:hRule="atLeast"/>
        </w:trPr>
        <w:tc>
          <w:tcPr>
            <w:tcW w:w="1414" w:type="dxa"/>
            <w:vMerge w:val="restart"/>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 және кәдеге жарату тарифтер</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605,76</w:t>
            </w:r>
          </w:p>
        </w:tc>
      </w:tr>
      <w:tr>
        <w:trPr>
          <w:trHeight w:val="30" w:hRule="atLeast"/>
        </w:trPr>
        <w:tc>
          <w:tcPr>
            <w:tcW w:w="0" w:type="auto"/>
            <w:vMerge/>
            <w:tcBorders>
              <w:top w:val="nil"/>
            </w:tcBorders>
          </w:tcPr>
          <w:p/>
        </w:tc>
        <w:tc>
          <w:tcPr>
            <w:tcW w:w="34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2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