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5451" w14:textId="6225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iстейтiн әлеуметтiк қамсыздандыру, бiлiм беру, мәдениет, спорт және ветеринария саласындағы мамандар лауазымдарының тiзбесiн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6 тамыздағы № 188 қаулысы. Қостанай облысының Әділет департаментінде 2015 жылғы 18 тамызда № 5810 болып тіркелді. Күші жойылды - Қостанай облысы Меңдіқара ауданы әкімдігінің 2016 жылғы 12 қаңтардағы № 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Меңдіқара ауданы әкімдігінің 12.01.2016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iстейтiн әлеуметтiк қамсыздандыру, бiлiм беру, мәдениет, спорт және ветеринария саласындағы мамандар лауазымдарының тiзбесi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Меңдіқара ауданы әкімдігінің 2014 жылғы 26 мамырдағы № 221 "Азаматтық қызметші болып табылатын және ауылдық жерде жұмыс iстейтiн әлеуметтiк қамсыздандыру, бiлiм беру, мәдениет, спорт және ветеринария саласындағы мамандар лауазымдарының тiзбесiн айқындау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4862 тіркелген, 2015 жылғы 24 шілдеде "Меңдіқара үні"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Ә. Ерқановқа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___________В. Леонов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06.08.2015 ж.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үйде көрсетілетін әлеуметтік көмек бөлімшесінің (орталықтың)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күтім жөніндегі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 білім беретін мектептердің, мектеп-интернаттардың және басқа да бастауыш, негізгі орта, жалпы орта, техникалық және кәсіптік, орта білімнен кейінгі, қосымша білім беру ұйымдарындағы директордың (басшының) ғылыми, оқу, оқу-өндірістік, оқу-тәрбие, оқу-әдістемелік жұмысы, ақпараттық технологиялар, тәрбие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ұйымдарының барлық мамандықтар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педагог-ұйымдастырушы;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мектепке дейінгі ұйымның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аға тәрбиеші,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лагерьдің (қорғаныс-спорттық, сауықтыру, мектеп, еңбек және демалыс)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оқу-өндірістік (оқу) шеберхана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зертхана, кабинет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еңбек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аға әдіскер,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медициналық бике, емдәм 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спорт жөніндегі жаттықтырушы-оқытушы;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алғашқы әскери даярлық оқытушы-ұйымдастырушысы;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дефектолог- мұғалім, логопед-мұғалім, логопед.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барлық атаудағы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әдіскер, аға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аға кітапханашы, кітапханашы,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режиссер, дыбыс режиссері;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жетекші,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бөлім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хормейстер, хореограф,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көркем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оқытушы.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жаттықтырушы-оқытушы;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дене шынықтыру жөніндегі нұсқаушы.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 фельдшері.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