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c8b8" w14:textId="06cc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2015 жылғы 23 ақпандағы № 06/02 қаулысы. Қарағанды облысының Әділет департаментінде 2015 жылғы 02 сәуірде № 3107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 xml:space="preserve"> 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"Мемлекеттік</w:t>
      </w:r>
      <w:r>
        <w:rPr>
          <w:rFonts w:ascii="Times New Roman"/>
          <w:b w:val="false"/>
          <w:i w:val="false"/>
          <w:color w:val="000000"/>
          <w:sz w:val="28"/>
        </w:rPr>
        <w:t xml:space="preserve">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"Ұлытау ауданының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ауданы әкімдігінің</w:t>
            </w:r>
            <w:r>
              <w:br/>
            </w:r>
            <w:r>
              <w:rPr>
                <w:rFonts w:ascii="Times New Roman"/>
                <w:b w:val="false"/>
                <w:i w:val="false"/>
                <w:color w:val="000000"/>
                <w:sz w:val="20"/>
              </w:rPr>
              <w:t>
2015 жылғы 23 ақпандағы</w:t>
            </w:r>
            <w:r>
              <w:br/>
            </w:r>
            <w:r>
              <w:rPr>
                <w:rFonts w:ascii="Times New Roman"/>
                <w:b w:val="false"/>
                <w:i w:val="false"/>
                <w:color w:val="000000"/>
                <w:sz w:val="20"/>
              </w:rPr>
              <w:t>
№ 06/02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"Ұлытау ауданының ауыл шаруашылығы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ауданының ауыл шаруашылығы бөлімі" мемлекеттік мекемесі (бұдан әрі – Мемлекеттік мекеме) ауыл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101500, Қазақстан Республикасы, Қарағанды облысы, Ұлытау ауданы, Ұлытау селосы, Абай көшесі 27.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сельского хозяйства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Мемлекеттік мекеменің миссиясы: </w:t>
      </w:r>
      <w:r>
        <w:br/>
      </w:r>
      <w:r>
        <w:rPr>
          <w:rFonts w:ascii="Times New Roman"/>
          <w:b w:val="false"/>
          <w:i w:val="false"/>
          <w:color w:val="000000"/>
          <w:sz w:val="28"/>
        </w:rPr>
        <w:t>
      </w:t>
      </w:r>
      <w:r>
        <w:rPr>
          <w:rFonts w:ascii="Times New Roman"/>
          <w:b w:val="false"/>
          <w:i w:val="false"/>
          <w:color w:val="000000"/>
          <w:sz w:val="28"/>
        </w:rPr>
        <w:t xml:space="preserve">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аграрлық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xml:space="preserve">
      2) </w:t>
      </w:r>
      <w:r>
        <w:rPr>
          <w:rFonts w:ascii="Times New Roman"/>
          <w:b w:val="false"/>
          <w:i w:val="false"/>
          <w:color w:val="000000"/>
          <w:sz w:val="28"/>
        </w:rPr>
        <w:t>мемлекеттің азық-түлік қауіпсіздігін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агроөнеркәсіптік кешен субъектілерін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агроөнеркәсіптік кешен мен ауылдық аумақтар саласында жедел ақпарат жинауды жүргізу және оны аудандық жергілікті атқарушы органына (әкімдігіне) беру;</w:t>
      </w:r>
      <w:r>
        <w:br/>
      </w:r>
      <w:r>
        <w:rPr>
          <w:rFonts w:ascii="Times New Roman"/>
          <w:b w:val="false"/>
          <w:i w:val="false"/>
          <w:color w:val="000000"/>
          <w:sz w:val="28"/>
        </w:rPr>
        <w:t xml:space="preserve">
      3)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6)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7) </w:t>
      </w:r>
      <w:r>
        <w:rPr>
          <w:rFonts w:ascii="Times New Roman"/>
          <w:b w:val="false"/>
          <w:i w:val="false"/>
          <w:color w:val="000000"/>
          <w:sz w:val="28"/>
        </w:rPr>
        <w:t>қатынаста әкімгер болып табылатын бюджеттік бағдарламалар нәтижесіне жету және орындау, негіздеу, жоспарлау;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Құқығы және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қолданыстағы заңнамалармен ұсынылған басқа да құқықтарды пайдаланады. </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Мемлекеттік мекеменің барлық құрылымдық бөлімшелермен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құрылымдық бөлімдері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Мемлекеттік мекеменің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8)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10) </w:t>
      </w:r>
      <w:r>
        <w:rPr>
          <w:rFonts w:ascii="Times New Roman"/>
          <w:b w:val="false"/>
          <w:i w:val="false"/>
          <w:color w:val="000000"/>
          <w:sz w:val="28"/>
        </w:rPr>
        <w:t>қолданыстағы заңнамада көрсетілген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21.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