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53a1" w14:textId="dc85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Талас аудандық мәслихатының 2014 жылғы 24 желтоқсандағы № 40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2015 жылғы 10 желтоқсанда № 48-2 шешімі. Жамбыл облысы Әділет департаментінде 2015 жылқы 11 желтоқсанда № 2852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 туралы" Жамбыл облыстық мәслихатының 2014 жылғы 11 желтоқсандағы № 33 – 3 шешіміне өзгерістер енгізу туралы" Жамбыл облыстық мәслихатының 2015 жылғы 07 желтоқсандағы </w:t>
      </w:r>
      <w:r>
        <w:rPr>
          <w:rFonts w:ascii="Times New Roman"/>
          <w:b w:val="false"/>
          <w:i w:val="false"/>
          <w:color w:val="000000"/>
          <w:sz w:val="28"/>
        </w:rPr>
        <w:t>№ 42 – 2</w:t>
      </w:r>
      <w:r>
        <w:rPr>
          <w:rFonts w:ascii="Times New Roman"/>
          <w:b w:val="false"/>
          <w:i w:val="false"/>
          <w:color w:val="000000"/>
          <w:sz w:val="28"/>
        </w:rPr>
        <w:t xml:space="preserve"> шешіміне (Нормативтік құқықтық кесімдерді мемлекеттік тіркеу тізілімінде 2015 жылы 09 желтоқсанда № 2849 тіркелген)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"2015-2017 жылдарға арналған аудандық бюджет туралы" Талас аудандық мәслихатының 2014 жылғы 24 желтоқсандағы № 40 – 3 шешіміне (Нормативтік құқықтық кесімдерді мемлекеттік тіркеу тізілімінде № 2453 болып тіркелген, 2015 жылғы 10 қаңтардағы № 4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"7 760 428" сандары "7 788 466" сандарымен ауыстырылсын;</w:t>
      </w:r>
      <w:r>
        <w:br/>
      </w:r>
      <w:r>
        <w:rPr>
          <w:rFonts w:ascii="Times New Roman"/>
          <w:b w:val="false"/>
          <w:i w:val="false"/>
          <w:color w:val="000000"/>
          <w:sz w:val="28"/>
        </w:rPr>
        <w:t>
      "759 855" сандары "761 178" сандарымен ауыстырылсын;</w:t>
      </w:r>
      <w:r>
        <w:br/>
      </w:r>
      <w:r>
        <w:rPr>
          <w:rFonts w:ascii="Times New Roman"/>
          <w:b w:val="false"/>
          <w:i w:val="false"/>
          <w:color w:val="000000"/>
          <w:sz w:val="28"/>
        </w:rPr>
        <w:t>
      "17 015" сандары "10 692" сандарымен ауыстырылсын;</w:t>
      </w:r>
      <w:r>
        <w:br/>
      </w:r>
      <w:r>
        <w:rPr>
          <w:rFonts w:ascii="Times New Roman"/>
          <w:b w:val="false"/>
          <w:i w:val="false"/>
          <w:color w:val="000000"/>
          <w:sz w:val="28"/>
        </w:rPr>
        <w:t>
      "11 221" сандары "16 221" сандарымен ауыстырылсын;</w:t>
      </w:r>
      <w:r>
        <w:br/>
      </w:r>
      <w:r>
        <w:rPr>
          <w:rFonts w:ascii="Times New Roman"/>
          <w:b w:val="false"/>
          <w:i w:val="false"/>
          <w:color w:val="000000"/>
          <w:sz w:val="28"/>
        </w:rPr>
        <w:t>
      "6 972 337" сандары "7 000 375"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"7 817 819" сандары "7 845 857"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"9 105" сандары "11 128"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10 желтоқсандағы</w:t>
            </w:r>
            <w:r>
              <w:br/>
            </w:r>
            <w:r>
              <w:rPr>
                <w:rFonts w:ascii="Times New Roman"/>
                <w:b w:val="false"/>
                <w:i w:val="false"/>
                <w:color w:val="000000"/>
                <w:sz w:val="20"/>
              </w:rPr>
              <w:t xml:space="preserve">№ 48 – 2 шешіміне 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2014 жылғы 24 желтоқсандағы</w:t>
            </w:r>
            <w:r>
              <w:br/>
            </w:r>
            <w:r>
              <w:rPr>
                <w:rFonts w:ascii="Times New Roman"/>
                <w:b w:val="false"/>
                <w:i w:val="false"/>
                <w:color w:val="000000"/>
                <w:sz w:val="20"/>
              </w:rPr>
              <w:t>№ 40 – 3 шешіміне 1 – қосымша</w:t>
            </w:r>
          </w:p>
        </w:tc>
      </w:tr>
    </w:tbl>
    <w:bookmarkStart w:name="z19"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7 788 097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442 934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392 623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7 845 857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3 539 744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2 577 566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2 456 435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1 787 576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1 090 916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480"/>
        <w:gridCol w:w="5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758"/>
        <w:gridCol w:w="4144"/>
        <w:gridCol w:w="5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909"/>
        <w:gridCol w:w="4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172"/>
        <w:gridCol w:w="1269"/>
        <w:gridCol w:w="1873"/>
        <w:gridCol w:w="57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108"/>
        <w:gridCol w:w="2108"/>
        <w:gridCol w:w="2939"/>
        <w:gridCol w:w="3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969"/>
        <w:gridCol w:w="969"/>
        <w:gridCol w:w="2051"/>
        <w:gridCol w:w="68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