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445e" w14:textId="c524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Қарой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03 маусымдағы № 115 қаулысы. Алматы облысы Әділет департаментінде 2015 жылы 07 шілдеде № 3267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Қарой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3 маусымдағы "Балқаш ауданы Қарой ауылдық округі әкімінің аппараты" мемлекеттік мекемесінің Ережесін бекіту туралы" № 115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Қарой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Қарой ауылдық округі әкімінің аппараты" мемлекеттік мекемесі Балқаш ауданы Қарой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Қарой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Қарой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Қарой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Қарой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Қарой ауылдық округі әкімінің аппараты" мемлекеттік мекемесі өз құзыретінің мәселелері бойынша заңнамада белгіленген тәртіппен Балқаш ауданы Қарой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Қарой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040312, Қазақстан Республикасы, Алматы облысы, Балқаш ауданы, Қарой ауылы, Быдышев көшесі, № 26.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Қарой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Қарой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Қарой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Қарой ауылдық округі әкімінің аппараты" мемлекеттік мекемесі кәсіпкерлік субъектілерімен "Балқаш ауданы Қарой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Қарой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Қарой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Қарой ауылдық округі әкімінің аппараты" мемлекеттік мекемесінің миссиясы: Балқаш ауданы Қарой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Қарой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Қарой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Қарой ауылдық округі әкімінің аппараты" мемлекеттік мекемесіне басшылықты "Балқаш ауданы Қарой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Қарой ауылдық округінің әкімін Балқаш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Балқаш ауданы Қарой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Қарой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Қарой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Қарой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Қарой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Қарой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Қарой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"Балқаш ауданы Қарой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Қарой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Қарой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Қарой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Қарой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"Балқаш ауданы Қарой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Қарой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