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00c3" w14:textId="b610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17 шілдедегі № 249 бұйрығы. Қазақстан Республикасының Әділет министрлігінде 2015 жылы 26 тамызда № 11948 болып тіркелді.</w:t>
      </w:r>
    </w:p>
    <w:p>
      <w:pPr>
        <w:spacing w:after="0"/>
        <w:ind w:left="0"/>
        <w:jc w:val="both"/>
      </w:pPr>
      <w:bookmarkStart w:name="z1" w:id="0"/>
      <w:r>
        <w:rPr>
          <w:rFonts w:ascii="Times New Roman"/>
          <w:b w:val="false"/>
          <w:i w:val="false"/>
          <w:color w:val="000000"/>
          <w:sz w:val="28"/>
        </w:rPr>
        <w:t xml:space="preserve">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статистика туралы" Қазақстан Республикасының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Республикасының Туризм және спорт министрлігі туралы Ереженің 15-тармағының </w:t>
      </w:r>
      <w:r>
        <w:rPr>
          <w:rFonts w:ascii="Times New Roman"/>
          <w:b w:val="false"/>
          <w:i w:val="false"/>
          <w:color w:val="000000"/>
          <w:sz w:val="28"/>
        </w:rPr>
        <w:t>155)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01.10.2024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ойын бизнесін ұйымдастырушының есептілікті ұсыну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Ойын бизнесін ұйымдастырушы ұсынатын есептілікті жинауды және талдауды жүзеге асыру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Мәдениет және спорт министрінің 08.07.2021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 комитеті (Е.Б. Қанағатов)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министрлігіне мемлекеттік тіркеуге жолдасын;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мерзім ішінде мерзімді баспа басылымдарында және "Әділет" ақпараттық-құқықтық жүйесінде ресми жариялауды қамтамасыз етсін;</w:t>
      </w:r>
    </w:p>
    <w:p>
      <w:pPr>
        <w:spacing w:after="0"/>
        <w:ind w:left="0"/>
        <w:jc w:val="both"/>
      </w:pPr>
      <w:r>
        <w:rPr>
          <w:rFonts w:ascii="Times New Roman"/>
          <w:b w:val="false"/>
          <w:i w:val="false"/>
          <w:color w:val="000000"/>
          <w:sz w:val="28"/>
        </w:rPr>
        <w:t>
      3) осы бұйрықты ресми жарияланғаннан кейін Қазақстан Республикасы Мәдениет және спорт министрлігінің интернет-ресурсында орналастырсын;</w:t>
      </w:r>
    </w:p>
    <w:p>
      <w:pPr>
        <w:spacing w:after="0"/>
        <w:ind w:left="0"/>
        <w:jc w:val="both"/>
      </w:pPr>
      <w:r>
        <w:rPr>
          <w:rFonts w:ascii="Times New Roman"/>
          <w:b w:val="false"/>
          <w:i w:val="false"/>
          <w:color w:val="000000"/>
          <w:sz w:val="28"/>
        </w:rPr>
        <w:t>
      4) Қазақстан Республикасы Мәдениет және спорт министрлігінің Заң қызметі департаментіне іс-шаралар орындалған күнінен бастап он жұмыс күні ішінде осы тармақпен көзделген іс-шараларды орындау туралы мәліметті енгізсін.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ff0000"/>
          <w:sz w:val="28"/>
        </w:rPr>
        <w:t xml:space="preserve">
      Ескерту. 1-қосымша жаңа редакцияда - ҚР Туризм және спорт министрінің м.а. 15.12.2025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5"/>
    <w:p>
      <w:pPr>
        <w:spacing w:after="0"/>
        <w:ind w:left="0"/>
        <w:jc w:val="both"/>
      </w:pPr>
      <w:r>
        <w:rPr>
          <w:rFonts w:ascii="Times New Roman"/>
          <w:b w:val="false"/>
          <w:i w:val="false"/>
          <w:color w:val="000000"/>
          <w:sz w:val="28"/>
        </w:rPr>
        <w:t>
      Ұсынылады: Қазақстан Республикасы Туризм және спорт министрлігінің Ойын бизнесі мен лотереяны реттеу комитетіне</w:t>
      </w:r>
    </w:p>
    <w:bookmarkEnd w:id="5"/>
    <w:bookmarkStart w:name="z24" w:id="6"/>
    <w:p>
      <w:pPr>
        <w:spacing w:after="0"/>
        <w:ind w:left="0"/>
        <w:jc w:val="both"/>
      </w:pPr>
      <w:r>
        <w:rPr>
          <w:rFonts w:ascii="Times New Roman"/>
          <w:b w:val="false"/>
          <w:i w:val="false"/>
          <w:color w:val="000000"/>
          <w:sz w:val="28"/>
        </w:rPr>
        <w:t>
      Әкімшілік деректер нысаны интернет-ресурста орналастырылған: www.tsm.gov.kz</w:t>
      </w:r>
    </w:p>
    <w:bookmarkEnd w:id="6"/>
    <w:p>
      <w:pPr>
        <w:spacing w:after="0"/>
        <w:ind w:left="0"/>
        <w:jc w:val="both"/>
      </w:pPr>
      <w:r>
        <w:rPr>
          <w:rFonts w:ascii="Times New Roman"/>
          <w:b w:val="false"/>
          <w:i w:val="false"/>
          <w:color w:val="000000"/>
          <w:sz w:val="28"/>
        </w:rPr>
        <w:t>
      Ойын бизнесін ұйымдастырушының есептілігін ұсыну нысаны</w:t>
      </w:r>
    </w:p>
    <w:p>
      <w:pPr>
        <w:spacing w:after="0"/>
        <w:ind w:left="0"/>
        <w:jc w:val="both"/>
      </w:pPr>
      <w:r>
        <w:rPr>
          <w:rFonts w:ascii="Times New Roman"/>
          <w:b w:val="false"/>
          <w:i w:val="false"/>
          <w:color w:val="000000"/>
          <w:sz w:val="28"/>
        </w:rPr>
        <w:t>
      Есепті кезең ________20__жыл</w:t>
      </w:r>
    </w:p>
    <w:p>
      <w:pPr>
        <w:spacing w:after="0"/>
        <w:ind w:left="0"/>
        <w:jc w:val="both"/>
      </w:pPr>
      <w:r>
        <w:rPr>
          <w:rFonts w:ascii="Times New Roman"/>
          <w:b w:val="false"/>
          <w:i w:val="false"/>
          <w:color w:val="000000"/>
          <w:sz w:val="28"/>
        </w:rPr>
        <w:t>
      Индекс: 1-(ОИБ)</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Ақпаратты ұсынатын тұлғалар тобы: ойын бизнесін ұйымдастырушылар (құмар ойындарды және (немесе) бәс тігуді ұйымдастыруды және өткізуді жүзеге асыратын заңды тұлғалар)</w:t>
      </w:r>
    </w:p>
    <w:p>
      <w:pPr>
        <w:spacing w:after="0"/>
        <w:ind w:left="0"/>
        <w:jc w:val="both"/>
      </w:pPr>
      <w:r>
        <w:rPr>
          <w:rFonts w:ascii="Times New Roman"/>
          <w:b w:val="false"/>
          <w:i w:val="false"/>
          <w:color w:val="000000"/>
          <w:sz w:val="28"/>
        </w:rPr>
        <w:t>
      Әкімшілік деректер нысанын ұсыну мерзімі: есепті кезеңнен кейінгі айдың 10-күнінен кешіктірмей, тоқсанына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бизнес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 қызметкерлерінің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құмар ойындарға және (немесе) бәс тігуге қатысушылардың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құмар ойындарға және (немесе) бәс тігуге қатысушылардың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КЖ/ТҚ/ЖҚҚТҚҚ туралы Заңның негіздері бойынша қатысушылармен іскерлік қатынастар орнатудан бас тарту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құмар ойындарға бірдей қатысушылардың ойын мекемелеріне бару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ойын бизнесі саласындағы қызметпен айналысуға лицензияны пайдаланғаны үшін төленген төлемақы сомасы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ұсынған күнгі жағдай бойынша банкте (банктерде) нақты орналастырылған міндетті резервтердің сомалары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ойындарға және (немесе) бәс тігуге қатысушыларға төленген ұтыстардың сомалары туралы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мөлшерлемердың жалпы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аз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келу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 және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сериялық және (немесе) түгендеу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ойын автоматтарының техникалық жай-күйі (жаңа/ қолданылған)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 (жаңа ойын автоматтары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тұрғыдан ойын автоматына салынған ұтыстың белгіленген пайызы (ойын автоматтары залы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жүйесінің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жазу жүйелерінің техникалық жай-күйі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 (лар) туралы деректер, оның ішінде кассаның түрі, саны және орналасқан жері (мекен-жайы)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 органдарында салық салу объектілерді/ касса (ларды) тіркеу есебіне қою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санының өзгеруі, жабдықты ауыстыру туралы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жағдайы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тестілеу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жабдықтың сериялық немесе 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кезінде көрсетілген ойын үстелдерінің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үстелдерінің санын ұлғайту және қысқарту туралы ақпарат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КЖ/ТҚ/ЖҚҚТҚҚ туралы Заңы –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Міндетті резервтердің болуын растау мақсатында есептілікке банктік салым шартын жасасу кезінде ашылған банктік шоттар бойынша ақшаның болуы және қозғалысы туралы анықтама қоса беріледі </w:t>
      </w:r>
    </w:p>
    <w:p>
      <w:pPr>
        <w:spacing w:after="0"/>
        <w:ind w:left="0"/>
        <w:jc w:val="both"/>
      </w:pPr>
      <w:r>
        <w:rPr>
          <w:rFonts w:ascii="Times New Roman"/>
          <w:b w:val="false"/>
          <w:i w:val="false"/>
          <w:color w:val="000000"/>
          <w:sz w:val="28"/>
        </w:rPr>
        <w:t>
      Ұйымның атауы: 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w:t>
      </w:r>
    </w:p>
    <w:p>
      <w:pPr>
        <w:spacing w:after="0"/>
        <w:ind w:left="0"/>
        <w:jc w:val="both"/>
      </w:pPr>
      <w:r>
        <w:rPr>
          <w:rFonts w:ascii="Times New Roman"/>
          <w:b w:val="false"/>
          <w:i w:val="false"/>
          <w:color w:val="000000"/>
          <w:sz w:val="28"/>
        </w:rPr>
        <w:t>
      Бизнес сәйкестендіру нөмірі _______________________________________</w:t>
      </w:r>
    </w:p>
    <w:p>
      <w:pPr>
        <w:spacing w:after="0"/>
        <w:ind w:left="0"/>
        <w:jc w:val="both"/>
      </w:pPr>
      <w:r>
        <w:rPr>
          <w:rFonts w:ascii="Times New Roman"/>
          <w:b w:val="false"/>
          <w:i w:val="false"/>
          <w:color w:val="000000"/>
          <w:sz w:val="28"/>
        </w:rPr>
        <w:t>
      Ойын мекемесінің немесе тауар белгісінің атауы (болған жағдайда) _____</w:t>
      </w:r>
    </w:p>
    <w:p>
      <w:pPr>
        <w:spacing w:after="0"/>
        <w:ind w:left="0"/>
        <w:jc w:val="both"/>
      </w:pPr>
      <w:r>
        <w:rPr>
          <w:rFonts w:ascii="Times New Roman"/>
          <w:b w:val="false"/>
          <w:i w:val="false"/>
          <w:color w:val="000000"/>
          <w:sz w:val="28"/>
        </w:rPr>
        <w:t>
      Интернет-ресурс (болған жағдайда) 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Берілген лицензияның нөмірі мен күні _______________________________</w:t>
      </w:r>
    </w:p>
    <w:p>
      <w:pPr>
        <w:spacing w:after="0"/>
        <w:ind w:left="0"/>
        <w:jc w:val="both"/>
      </w:pPr>
      <w:r>
        <w:rPr>
          <w:rFonts w:ascii="Times New Roman"/>
          <w:b w:val="false"/>
          <w:i w:val="false"/>
          <w:color w:val="000000"/>
          <w:sz w:val="28"/>
        </w:rPr>
        <w:t>
      ____________парақта қоса беріледі.</w:t>
      </w:r>
    </w:p>
    <w:p>
      <w:pPr>
        <w:spacing w:after="0"/>
        <w:ind w:left="0"/>
        <w:jc w:val="both"/>
      </w:pPr>
      <w:r>
        <w:rPr>
          <w:rFonts w:ascii="Times New Roman"/>
          <w:b w:val="false"/>
          <w:i w:val="false"/>
          <w:color w:val="000000"/>
          <w:sz w:val="28"/>
        </w:rPr>
        <w:t>
      Осымен расталады: осы есептілікте көрсетілген барлық мәліметтер және қоса беріліп отырған құжаттар шындыққа сәйкес келеді және жарамды болып табылады.</w:t>
      </w:r>
    </w:p>
    <w:p>
      <w:pPr>
        <w:spacing w:after="0"/>
        <w:ind w:left="0"/>
        <w:jc w:val="both"/>
      </w:pPr>
      <w:r>
        <w:rPr>
          <w:rFonts w:ascii="Times New Roman"/>
          <w:b w:val="false"/>
          <w:i w:val="false"/>
          <w:color w:val="000000"/>
          <w:sz w:val="28"/>
        </w:rPr>
        <w:t>
      Жауапты тұлға ______________________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Басшы немесе қол қоюға уәкілетті тұлға__________________ қолы немесе </w:t>
      </w:r>
    </w:p>
    <w:p>
      <w:pPr>
        <w:spacing w:after="0"/>
        <w:ind w:left="0"/>
        <w:jc w:val="both"/>
      </w:pPr>
      <w:r>
        <w:rPr>
          <w:rFonts w:ascii="Times New Roman"/>
          <w:b w:val="false"/>
          <w:i w:val="false"/>
          <w:color w:val="000000"/>
          <w:sz w:val="28"/>
        </w:rPr>
        <w:t>
      электрондық цифрлық қолтаңба 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Әкімшілік деректерді жинау үшін арналған нысанды толтыру бойынша түсіндірме</w:t>
      </w:r>
    </w:p>
    <w:p>
      <w:pPr>
        <w:spacing w:after="0"/>
        <w:ind w:left="0"/>
        <w:jc w:val="both"/>
      </w:pPr>
      <w:r>
        <w:rPr>
          <w:rFonts w:ascii="Times New Roman"/>
          <w:b w:val="false"/>
          <w:i w:val="false"/>
          <w:color w:val="000000"/>
          <w:sz w:val="28"/>
        </w:rPr>
        <w:t xml:space="preserve">
      Ойын бизнесін ұйымдастырушының есеп беру нысаны </w:t>
      </w:r>
    </w:p>
    <w:p>
      <w:pPr>
        <w:spacing w:after="0"/>
        <w:ind w:left="0"/>
        <w:jc w:val="both"/>
      </w:pPr>
      <w:r>
        <w:rPr>
          <w:rFonts w:ascii="Times New Roman"/>
          <w:b w:val="false"/>
          <w:i w:val="false"/>
          <w:color w:val="000000"/>
          <w:sz w:val="28"/>
        </w:rPr>
        <w:t>
      Индекс: 1 - (ОИБ), кезеңділігі: тоқсан сайын</w:t>
      </w:r>
    </w:p>
    <w:bookmarkStart w:name="z25"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Осы түсіндірме ойын бизнесін ұйымдастырушының есептілікті ұсыну нысанын толтыру бойынша бірыңғай талаптарды айқындайды.</w:t>
      </w:r>
    </w:p>
    <w:p>
      <w:pPr>
        <w:spacing w:after="0"/>
        <w:ind w:left="0"/>
        <w:jc w:val="both"/>
      </w:pPr>
      <w:r>
        <w:rPr>
          <w:rFonts w:ascii="Times New Roman"/>
          <w:b w:val="false"/>
          <w:i w:val="false"/>
          <w:color w:val="000000"/>
          <w:sz w:val="28"/>
        </w:rPr>
        <w:t>
      2. Нысанды ойын бизнесін ұйымдастырушылар (құмар ойындарды және (немесе) бәс тігуді ұйымдастыруды және өткізуді жүзеге асыратын заңды тұлғалар) толтырады және ойын бизнесі саласындағы уәкілетті органға ұсынады.</w:t>
      </w:r>
    </w:p>
    <w:p>
      <w:pPr>
        <w:spacing w:after="0"/>
        <w:ind w:left="0"/>
        <w:jc w:val="both"/>
      </w:pPr>
      <w:r>
        <w:rPr>
          <w:rFonts w:ascii="Times New Roman"/>
          <w:b w:val="false"/>
          <w:i w:val="false"/>
          <w:color w:val="000000"/>
          <w:sz w:val="28"/>
        </w:rPr>
        <w:t>
      3. Нысан ойын бизнесін ұйымдастырушы басшысының не оны алмастыратын тұлғаның қолымен немесе электрондық цифрлық қолтаңбасымен (міндеттерді жүктеу туралы бұйрықтың көшірмесін қоса бере отырып), сондай-ақ ұйымның мөрімен (бар болса) куәландырылады.</w:t>
      </w:r>
    </w:p>
    <w:p>
      <w:pPr>
        <w:spacing w:after="0"/>
        <w:ind w:left="0"/>
        <w:jc w:val="both"/>
      </w:pPr>
      <w:r>
        <w:rPr>
          <w:rFonts w:ascii="Times New Roman"/>
          <w:b w:val="false"/>
          <w:i w:val="false"/>
          <w:color w:val="000000"/>
          <w:sz w:val="28"/>
        </w:rPr>
        <w:t>
      4. Нысан тоқсан сайын, есепті кезеңнен кейінгі айдың 10-күнінен кешіктірмей ұсынылады.</w:t>
      </w:r>
    </w:p>
    <w:bookmarkStart w:name="z26" w:id="8"/>
    <w:p>
      <w:pPr>
        <w:spacing w:after="0"/>
        <w:ind w:left="0"/>
        <w:jc w:val="left"/>
      </w:pPr>
      <w:r>
        <w:rPr>
          <w:rFonts w:ascii="Times New Roman"/>
          <w:b/>
          <w:i w:val="false"/>
          <w:color w:val="000000"/>
        </w:rPr>
        <w:t xml:space="preserve"> 2-тарау. Нысанды толтыру бойынша түсініктеме</w:t>
      </w:r>
    </w:p>
    <w:bookmarkEnd w:id="8"/>
    <w:p>
      <w:pPr>
        <w:spacing w:after="0"/>
        <w:ind w:left="0"/>
        <w:jc w:val="both"/>
      </w:pPr>
      <w:r>
        <w:rPr>
          <w:rFonts w:ascii="Times New Roman"/>
          <w:b w:val="false"/>
          <w:i w:val="false"/>
          <w:color w:val="000000"/>
          <w:sz w:val="28"/>
        </w:rPr>
        <w:t>
      5. 1-бағанда реттік нөмірі толтырылады.</w:t>
      </w:r>
    </w:p>
    <w:p>
      <w:pPr>
        <w:spacing w:after="0"/>
        <w:ind w:left="0"/>
        <w:jc w:val="both"/>
      </w:pPr>
      <w:r>
        <w:rPr>
          <w:rFonts w:ascii="Times New Roman"/>
          <w:b w:val="false"/>
          <w:i w:val="false"/>
          <w:color w:val="000000"/>
          <w:sz w:val="28"/>
        </w:rPr>
        <w:t>
      6. 2-бағанда ойын бизнесін ұйымдастырушының бизнес сәйкестендіру нөмірі көрсетіледі.</w:t>
      </w:r>
    </w:p>
    <w:p>
      <w:pPr>
        <w:spacing w:after="0"/>
        <w:ind w:left="0"/>
        <w:jc w:val="both"/>
      </w:pPr>
      <w:r>
        <w:rPr>
          <w:rFonts w:ascii="Times New Roman"/>
          <w:b w:val="false"/>
          <w:i w:val="false"/>
          <w:color w:val="000000"/>
          <w:sz w:val="28"/>
        </w:rPr>
        <w:t>
      7. 3-бағанда ойын бизнесін ұйымдастырушының атауы көрсетіледі.</w:t>
      </w:r>
    </w:p>
    <w:p>
      <w:pPr>
        <w:spacing w:after="0"/>
        <w:ind w:left="0"/>
        <w:jc w:val="both"/>
      </w:pPr>
      <w:r>
        <w:rPr>
          <w:rFonts w:ascii="Times New Roman"/>
          <w:b w:val="false"/>
          <w:i w:val="false"/>
          <w:color w:val="000000"/>
          <w:sz w:val="28"/>
        </w:rPr>
        <w:t>
      8. 4-бағанда қызмет түрі көрсетіледі.</w:t>
      </w:r>
    </w:p>
    <w:p>
      <w:pPr>
        <w:spacing w:after="0"/>
        <w:ind w:left="0"/>
        <w:jc w:val="both"/>
      </w:pPr>
      <w:r>
        <w:rPr>
          <w:rFonts w:ascii="Times New Roman"/>
          <w:b w:val="false"/>
          <w:i w:val="false"/>
          <w:color w:val="000000"/>
          <w:sz w:val="28"/>
        </w:rPr>
        <w:t>
      9. 5-бағанда заңды мекен-жайы көрсетіледі.</w:t>
      </w:r>
    </w:p>
    <w:p>
      <w:pPr>
        <w:spacing w:after="0"/>
        <w:ind w:left="0"/>
        <w:jc w:val="both"/>
      </w:pPr>
      <w:r>
        <w:rPr>
          <w:rFonts w:ascii="Times New Roman"/>
          <w:b w:val="false"/>
          <w:i w:val="false"/>
          <w:color w:val="000000"/>
          <w:sz w:val="28"/>
        </w:rPr>
        <w:t>
      10. 6, 7-бағандарда есепті кезеңнің басында және соңында ойын бизнесін ұйымдастырушы қызметкерлерінің саны туралы мәліметтер көрсетіледі.</w:t>
      </w:r>
    </w:p>
    <w:p>
      <w:pPr>
        <w:spacing w:after="0"/>
        <w:ind w:left="0"/>
        <w:jc w:val="both"/>
      </w:pPr>
      <w:r>
        <w:rPr>
          <w:rFonts w:ascii="Times New Roman"/>
          <w:b w:val="false"/>
          <w:i w:val="false"/>
          <w:color w:val="000000"/>
          <w:sz w:val="28"/>
        </w:rPr>
        <w:t>
      11. 8, 9-бағандарда есепті кезеңнің басындағы құмар ойындарға және (немесе) бәс тігуге (резиденттер, резиденттер емес) қатысушылардың саны туралы мәліметтер көрсетіледі.</w:t>
      </w:r>
    </w:p>
    <w:p>
      <w:pPr>
        <w:spacing w:after="0"/>
        <w:ind w:left="0"/>
        <w:jc w:val="both"/>
      </w:pPr>
      <w:r>
        <w:rPr>
          <w:rFonts w:ascii="Times New Roman"/>
          <w:b w:val="false"/>
          <w:i w:val="false"/>
          <w:color w:val="000000"/>
          <w:sz w:val="28"/>
        </w:rPr>
        <w:t>
      12. 10, 11-бағандарда есепті кезеңнің соңында құмар ойындарға және (немесе) бәс тігуге қатысушылардың (резиденттер, резиденттер емес) саны туралы мәліметтер көрсетіледі.</w:t>
      </w:r>
    </w:p>
    <w:p>
      <w:pPr>
        <w:spacing w:after="0"/>
        <w:ind w:left="0"/>
        <w:jc w:val="both"/>
      </w:pPr>
      <w:r>
        <w:rPr>
          <w:rFonts w:ascii="Times New Roman"/>
          <w:b w:val="false"/>
          <w:i w:val="false"/>
          <w:color w:val="000000"/>
          <w:sz w:val="28"/>
        </w:rPr>
        <w:t>
      13. 12-бағанда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Заңында қарастырылған негіздері бойынша қатысушылармен іскерлік қатынастар орнатудан бас тарту саны туралы мәліметтер көрсетіледі.</w:t>
      </w:r>
    </w:p>
    <w:p>
      <w:pPr>
        <w:spacing w:after="0"/>
        <w:ind w:left="0"/>
        <w:jc w:val="both"/>
      </w:pPr>
      <w:r>
        <w:rPr>
          <w:rFonts w:ascii="Times New Roman"/>
          <w:b w:val="false"/>
          <w:i w:val="false"/>
          <w:color w:val="000000"/>
          <w:sz w:val="28"/>
        </w:rPr>
        <w:t>
      14. 13, 14, 15-бағандарда есепті кезеңде құмар ойындардың сол қатысушыларының ойын мекемелеріне бару саны туралы мәліметтер көрсетіледі (10-нан аз бару, 10-нан астам бару, 50-ден астам бару).</w:t>
      </w:r>
    </w:p>
    <w:p>
      <w:pPr>
        <w:spacing w:after="0"/>
        <w:ind w:left="0"/>
        <w:jc w:val="both"/>
      </w:pPr>
      <w:r>
        <w:rPr>
          <w:rFonts w:ascii="Times New Roman"/>
          <w:b w:val="false"/>
          <w:i w:val="false"/>
          <w:color w:val="000000"/>
          <w:sz w:val="28"/>
        </w:rPr>
        <w:t>
      15. 16-бағанда есепті кезеңде ойын бизнесі саласындағы қызметпен айналысуға лицензияны пайдаланғаны үшін төленген төлемақы сомасы туралы мәліметтер көрсетіледі.</w:t>
      </w:r>
    </w:p>
    <w:p>
      <w:pPr>
        <w:spacing w:after="0"/>
        <w:ind w:left="0"/>
        <w:jc w:val="both"/>
      </w:pPr>
      <w:r>
        <w:rPr>
          <w:rFonts w:ascii="Times New Roman"/>
          <w:b w:val="false"/>
          <w:i w:val="false"/>
          <w:color w:val="000000"/>
          <w:sz w:val="28"/>
        </w:rPr>
        <w:t>
      16. 17-бағанда есептілікті ұсынған күнгі жағдай бойынша банкте (банктерде) нақты орналастырылған "Ойын бизнесі туралы" Қазақстан Республикасының Заңында айқындалатын міндетті резервтер түріндегі әрбір лицензияға қамтамасыз ету сомасы туралы мәліметтер көрсетіледі.</w:t>
      </w:r>
    </w:p>
    <w:p>
      <w:pPr>
        <w:spacing w:after="0"/>
        <w:ind w:left="0"/>
        <w:jc w:val="both"/>
      </w:pPr>
      <w:r>
        <w:rPr>
          <w:rFonts w:ascii="Times New Roman"/>
          <w:b w:val="false"/>
          <w:i w:val="false"/>
          <w:color w:val="000000"/>
          <w:sz w:val="28"/>
        </w:rPr>
        <w:t>
      17. 18-бағанда құмар ойындарға қатысушыларға төленген ұтыстар және (немесе) бәс тігулер сомасы туралы мәліметтер көрсетіледі.</w:t>
      </w:r>
    </w:p>
    <w:p>
      <w:pPr>
        <w:spacing w:after="0"/>
        <w:ind w:left="0"/>
        <w:jc w:val="both"/>
      </w:pPr>
      <w:r>
        <w:rPr>
          <w:rFonts w:ascii="Times New Roman"/>
          <w:b w:val="false"/>
          <w:i w:val="false"/>
          <w:color w:val="000000"/>
          <w:sz w:val="28"/>
        </w:rPr>
        <w:t>
      18. 19-бағанда есепті кезеңде жасалған мөлшерлемелердің жалпы сомасы туралы мәліметтер көрсетіледі.</w:t>
      </w:r>
    </w:p>
    <w:p>
      <w:pPr>
        <w:spacing w:after="0"/>
        <w:ind w:left="0"/>
        <w:jc w:val="both"/>
      </w:pPr>
      <w:r>
        <w:rPr>
          <w:rFonts w:ascii="Times New Roman"/>
          <w:b w:val="false"/>
          <w:i w:val="false"/>
          <w:color w:val="000000"/>
          <w:sz w:val="28"/>
        </w:rPr>
        <w:t>
      19. 20-бағанда ойын жабдығының атауы мен түрі көрсетіледі.</w:t>
      </w:r>
    </w:p>
    <w:p>
      <w:pPr>
        <w:spacing w:after="0"/>
        <w:ind w:left="0"/>
        <w:jc w:val="both"/>
      </w:pPr>
      <w:r>
        <w:rPr>
          <w:rFonts w:ascii="Times New Roman"/>
          <w:b w:val="false"/>
          <w:i w:val="false"/>
          <w:color w:val="000000"/>
          <w:sz w:val="28"/>
        </w:rPr>
        <w:t>
      20. 21-бағанда ойын жабдығының саны көрсетіледі.</w:t>
      </w:r>
    </w:p>
    <w:p>
      <w:pPr>
        <w:spacing w:after="0"/>
        <w:ind w:left="0"/>
        <w:jc w:val="both"/>
      </w:pPr>
      <w:r>
        <w:rPr>
          <w:rFonts w:ascii="Times New Roman"/>
          <w:b w:val="false"/>
          <w:i w:val="false"/>
          <w:color w:val="000000"/>
          <w:sz w:val="28"/>
        </w:rPr>
        <w:t>
      21. 22-бағанда ойын жабдығының сериялық және (немесе) түгендеу нөмірі көрсетіледі.</w:t>
      </w:r>
    </w:p>
    <w:p>
      <w:pPr>
        <w:spacing w:after="0"/>
        <w:ind w:left="0"/>
        <w:jc w:val="both"/>
      </w:pPr>
      <w:r>
        <w:rPr>
          <w:rFonts w:ascii="Times New Roman"/>
          <w:b w:val="false"/>
          <w:i w:val="false"/>
          <w:color w:val="000000"/>
          <w:sz w:val="28"/>
        </w:rPr>
        <w:t>
      22. 23-бағанда ойын жабдығын өндіруші көрсетіледі.</w:t>
      </w:r>
    </w:p>
    <w:p>
      <w:pPr>
        <w:spacing w:after="0"/>
        <w:ind w:left="0"/>
        <w:jc w:val="both"/>
      </w:pPr>
      <w:r>
        <w:rPr>
          <w:rFonts w:ascii="Times New Roman"/>
          <w:b w:val="false"/>
          <w:i w:val="false"/>
          <w:color w:val="000000"/>
          <w:sz w:val="28"/>
        </w:rPr>
        <w:t>
      23. 24-бағанда ойын жабдығының, ойын автоматтарының техникалық жай-күйі көрсетіледі (жаңа/қолданылған).</w:t>
      </w:r>
    </w:p>
    <w:p>
      <w:pPr>
        <w:spacing w:after="0"/>
        <w:ind w:left="0"/>
        <w:jc w:val="both"/>
      </w:pPr>
      <w:r>
        <w:rPr>
          <w:rFonts w:ascii="Times New Roman"/>
          <w:b w:val="false"/>
          <w:i w:val="false"/>
          <w:color w:val="000000"/>
          <w:sz w:val="28"/>
        </w:rPr>
        <w:t>
      24. 25-бағанда ойын жабдығын тестілеу күні көрсетіледі (жаңа ойын автоматтары үшін).</w:t>
      </w:r>
    </w:p>
    <w:p>
      <w:pPr>
        <w:spacing w:after="0"/>
        <w:ind w:left="0"/>
        <w:jc w:val="both"/>
      </w:pPr>
      <w:r>
        <w:rPr>
          <w:rFonts w:ascii="Times New Roman"/>
          <w:b w:val="false"/>
          <w:i w:val="false"/>
          <w:color w:val="000000"/>
          <w:sz w:val="28"/>
        </w:rPr>
        <w:t>
      25. 26-бағанда технологиялық тұрғыдан ойын автоматына (ойын автоматтары залы үшін) салынған ұтыстың белгіленген пайызы көрсетіледі.</w:t>
      </w:r>
    </w:p>
    <w:p>
      <w:pPr>
        <w:spacing w:after="0"/>
        <w:ind w:left="0"/>
        <w:jc w:val="both"/>
      </w:pPr>
      <w:r>
        <w:rPr>
          <w:rFonts w:ascii="Times New Roman"/>
          <w:b w:val="false"/>
          <w:i w:val="false"/>
          <w:color w:val="000000"/>
          <w:sz w:val="28"/>
        </w:rPr>
        <w:t>
      26. 27, 28, 29, 30-бағандарда бейне жазу жүйелерінің техникалық жай-күйі туралы мәліметтер, оның ішінде бейне жазу жүйесінің атауы, саны, техникалық жай-күйі, жабдықты тестілеу күні көрсетіледі.</w:t>
      </w:r>
    </w:p>
    <w:p>
      <w:pPr>
        <w:spacing w:after="0"/>
        <w:ind w:left="0"/>
        <w:jc w:val="both"/>
      </w:pPr>
      <w:r>
        <w:rPr>
          <w:rFonts w:ascii="Times New Roman"/>
          <w:b w:val="false"/>
          <w:i w:val="false"/>
          <w:color w:val="000000"/>
          <w:sz w:val="28"/>
        </w:rPr>
        <w:t>
      27. 31-бағанда касса (лар) туралы деректер, оның ішінде кассаның түрі, саны, орналасқан жері (мекенжайы) көрсетіледі.</w:t>
      </w:r>
    </w:p>
    <w:p>
      <w:pPr>
        <w:spacing w:after="0"/>
        <w:ind w:left="0"/>
        <w:jc w:val="both"/>
      </w:pPr>
      <w:r>
        <w:rPr>
          <w:rFonts w:ascii="Times New Roman"/>
          <w:b w:val="false"/>
          <w:i w:val="false"/>
          <w:color w:val="000000"/>
          <w:sz w:val="28"/>
        </w:rPr>
        <w:t>
      28. 32-бағанда мемлекеттік кіріс органдарында салық салу объектілерін/касса (ларды) тіркеу есебіне қою туралы мәліметтер көрсетіледі.</w:t>
      </w:r>
    </w:p>
    <w:p>
      <w:pPr>
        <w:spacing w:after="0"/>
        <w:ind w:left="0"/>
        <w:jc w:val="both"/>
      </w:pPr>
      <w:r>
        <w:rPr>
          <w:rFonts w:ascii="Times New Roman"/>
          <w:b w:val="false"/>
          <w:i w:val="false"/>
          <w:color w:val="000000"/>
          <w:sz w:val="28"/>
        </w:rPr>
        <w:t>
      29. 33, 34, 35-бағандарда үстелдер санының өзгеруі, жабдықты ауыстыру туралы мәліметтер, оның ішінде ауыстырылған жабдықтың сериялық немесе түгендеу нөмірі, лицензия алған кезде көрсетілген ойын үстелдерінің саны, ойын үстелдерінің санын ұлғайту және қысқарту туралы ақпарат көрсетіледі.</w:t>
      </w:r>
    </w:p>
    <w:p>
      <w:pPr>
        <w:spacing w:after="0"/>
        <w:ind w:left="0"/>
        <w:jc w:val="both"/>
      </w:pPr>
      <w:r>
        <w:rPr>
          <w:rFonts w:ascii="Times New Roman"/>
          <w:b w:val="false"/>
          <w:i w:val="false"/>
          <w:color w:val="000000"/>
          <w:sz w:val="28"/>
        </w:rPr>
        <w:t>
      30. 36-бағанда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Мәдениет</w:t>
            </w:r>
            <w:r>
              <w:br/>
            </w:r>
            <w:r>
              <w:rPr>
                <w:rFonts w:ascii="Times New Roman"/>
                <w:b w:val="false"/>
                <w:i w:val="false"/>
                <w:color w:val="000000"/>
                <w:sz w:val="20"/>
              </w:rPr>
              <w:t>және спорт министрінің</w:t>
            </w:r>
            <w:r>
              <w:br/>
            </w:r>
            <w:r>
              <w:rPr>
                <w:rFonts w:ascii="Times New Roman"/>
                <w:b w:val="false"/>
                <w:i w:val="false"/>
                <w:color w:val="000000"/>
                <w:sz w:val="20"/>
              </w:rPr>
              <w:t>2015 жылғы 17 шілдедегі</w:t>
            </w:r>
            <w:r>
              <w:br/>
            </w:r>
            <w:r>
              <w:rPr>
                <w:rFonts w:ascii="Times New Roman"/>
                <w:b w:val="false"/>
                <w:i w:val="false"/>
                <w:color w:val="000000"/>
                <w:sz w:val="20"/>
              </w:rPr>
              <w:t>№ 249 бұйрығына 2-қосымша</w:t>
            </w:r>
          </w:p>
        </w:tc>
      </w:tr>
    </w:tbl>
    <w:bookmarkStart w:name="z9" w:id="9"/>
    <w:p>
      <w:pPr>
        <w:spacing w:after="0"/>
        <w:ind w:left="0"/>
        <w:jc w:val="left"/>
      </w:pPr>
      <w:r>
        <w:rPr>
          <w:rFonts w:ascii="Times New Roman"/>
          <w:b/>
          <w:i w:val="false"/>
          <w:color w:val="000000"/>
        </w:rPr>
        <w:t xml:space="preserve"> Ойын бизнесін ұйымдастырушы ұсынатын есептілікті жинауды</w:t>
      </w:r>
      <w:r>
        <w:br/>
      </w:r>
      <w:r>
        <w:rPr>
          <w:rFonts w:ascii="Times New Roman"/>
          <w:b/>
          <w:i w:val="false"/>
          <w:color w:val="000000"/>
        </w:rPr>
        <w:t>және талдауды жүзеге асыру қағидалары</w:t>
      </w:r>
    </w:p>
    <w:bookmarkEnd w:id="9"/>
    <w:bookmarkStart w:name="z1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 w:id="11"/>
    <w:p>
      <w:pPr>
        <w:spacing w:after="0"/>
        <w:ind w:left="0"/>
        <w:jc w:val="both"/>
      </w:pPr>
      <w:r>
        <w:rPr>
          <w:rFonts w:ascii="Times New Roman"/>
          <w:b w:val="false"/>
          <w:i w:val="false"/>
          <w:color w:val="000000"/>
          <w:sz w:val="28"/>
        </w:rPr>
        <w:t xml:space="preserve">
      1. Осы Ойын бизнесін ұйымдастырушы ұсынатын есептілікті жинауды және талдауды жүзеге асыру қағидалары (бұдан әрі – Қағидалар)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ойын бизнесін ұйымдастырушы ұсынатын есептілікті жинау және талдау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26.04.2023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2. Есептілікті жинаудың және талдаудың мақсаты ойын бизнесі субъектілері қызметінің ойын бизнесі туралы заңнамаға сәйкестігіне мониторинг жүргізу болып табылады.</w:t>
      </w:r>
    </w:p>
    <w:bookmarkEnd w:id="12"/>
    <w:bookmarkStart w:name="z13" w:id="13"/>
    <w:p>
      <w:pPr>
        <w:spacing w:after="0"/>
        <w:ind w:left="0"/>
        <w:jc w:val="left"/>
      </w:pPr>
      <w:r>
        <w:rPr>
          <w:rFonts w:ascii="Times New Roman"/>
          <w:b/>
          <w:i w:val="false"/>
          <w:color w:val="000000"/>
        </w:rPr>
        <w:t xml:space="preserve"> 2-тарау. Есептілікті жинауды жүзеге асыру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p>
    <w:bookmarkStart w:name="z14" w:id="14"/>
    <w:p>
      <w:pPr>
        <w:spacing w:after="0"/>
        <w:ind w:left="0"/>
        <w:jc w:val="both"/>
      </w:pPr>
      <w:r>
        <w:rPr>
          <w:rFonts w:ascii="Times New Roman"/>
          <w:b w:val="false"/>
          <w:i w:val="false"/>
          <w:color w:val="000000"/>
          <w:sz w:val="28"/>
        </w:rPr>
        <w:t xml:space="preserve">
      3. Есептілікті жинау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есептілікті (бұдан әрі – есептілік) ойын бизнесі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ойын бизнесін ұйымдастырушылардың ұсынуы арқылы жүзеге асырылады.</w:t>
      </w:r>
    </w:p>
    <w:bookmarkEnd w:id="14"/>
    <w:bookmarkStart w:name="z15" w:id="15"/>
    <w:p>
      <w:pPr>
        <w:spacing w:after="0"/>
        <w:ind w:left="0"/>
        <w:jc w:val="both"/>
      </w:pPr>
      <w:r>
        <w:rPr>
          <w:rFonts w:ascii="Times New Roman"/>
          <w:b w:val="false"/>
          <w:i w:val="false"/>
          <w:color w:val="000000"/>
          <w:sz w:val="28"/>
        </w:rPr>
        <w:t>
      4. Есептілік қағаз немесе электронды түрде есепті кезеңнен кейінгі айдың 10-күнінен кешіктірмей тоқсан сайын беріледі.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01.10.2024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5. Есептілік мынадай ақпаратты қамтиды:</w:t>
      </w:r>
    </w:p>
    <w:bookmarkEnd w:id="16"/>
    <w:p>
      <w:pPr>
        <w:spacing w:after="0"/>
        <w:ind w:left="0"/>
        <w:jc w:val="both"/>
      </w:pPr>
      <w:r>
        <w:rPr>
          <w:rFonts w:ascii="Times New Roman"/>
          <w:b w:val="false"/>
          <w:i w:val="false"/>
          <w:color w:val="000000"/>
          <w:sz w:val="28"/>
        </w:rPr>
        <w:t>
      1) ойын бизнесін ұйымдастырушының бизнес сәйкестендіру нөмірі туралы мәліметтер;</w:t>
      </w:r>
    </w:p>
    <w:p>
      <w:pPr>
        <w:spacing w:after="0"/>
        <w:ind w:left="0"/>
        <w:jc w:val="both"/>
      </w:pPr>
      <w:r>
        <w:rPr>
          <w:rFonts w:ascii="Times New Roman"/>
          <w:b w:val="false"/>
          <w:i w:val="false"/>
          <w:color w:val="000000"/>
          <w:sz w:val="28"/>
        </w:rPr>
        <w:t>
      2) ойын бизнесін ұйымдастырушының атауы;</w:t>
      </w:r>
    </w:p>
    <w:p>
      <w:pPr>
        <w:spacing w:after="0"/>
        <w:ind w:left="0"/>
        <w:jc w:val="both"/>
      </w:pPr>
      <w:r>
        <w:rPr>
          <w:rFonts w:ascii="Times New Roman"/>
          <w:b w:val="false"/>
          <w:i w:val="false"/>
          <w:color w:val="000000"/>
          <w:sz w:val="28"/>
        </w:rPr>
        <w:t>
      3) қызмет түрі;</w:t>
      </w:r>
    </w:p>
    <w:p>
      <w:pPr>
        <w:spacing w:after="0"/>
        <w:ind w:left="0"/>
        <w:jc w:val="both"/>
      </w:pPr>
      <w:r>
        <w:rPr>
          <w:rFonts w:ascii="Times New Roman"/>
          <w:b w:val="false"/>
          <w:i w:val="false"/>
          <w:color w:val="000000"/>
          <w:sz w:val="28"/>
        </w:rPr>
        <w:t>
      4) заңды мекен-жайы;</w:t>
      </w:r>
    </w:p>
    <w:p>
      <w:pPr>
        <w:spacing w:after="0"/>
        <w:ind w:left="0"/>
        <w:jc w:val="both"/>
      </w:pPr>
      <w:r>
        <w:rPr>
          <w:rFonts w:ascii="Times New Roman"/>
          <w:b w:val="false"/>
          <w:i w:val="false"/>
          <w:color w:val="000000"/>
          <w:sz w:val="28"/>
        </w:rPr>
        <w:t>
      5) есепті кезеңнің басындағы ойын бизнесін ұйымдастырушы қызметкерлерінің саны туралы мәліметтер;</w:t>
      </w:r>
    </w:p>
    <w:p>
      <w:pPr>
        <w:spacing w:after="0"/>
        <w:ind w:left="0"/>
        <w:jc w:val="both"/>
      </w:pPr>
      <w:r>
        <w:rPr>
          <w:rFonts w:ascii="Times New Roman"/>
          <w:b w:val="false"/>
          <w:i w:val="false"/>
          <w:color w:val="000000"/>
          <w:sz w:val="28"/>
        </w:rPr>
        <w:t>
      6) есепті кезеңнің соңында ойын бизнесін ұйымдастырушы қызметкерлерінің саны туралы мәліметтер;</w:t>
      </w:r>
    </w:p>
    <w:p>
      <w:pPr>
        <w:spacing w:after="0"/>
        <w:ind w:left="0"/>
        <w:jc w:val="both"/>
      </w:pPr>
      <w:r>
        <w:rPr>
          <w:rFonts w:ascii="Times New Roman"/>
          <w:b w:val="false"/>
          <w:i w:val="false"/>
          <w:color w:val="000000"/>
          <w:sz w:val="28"/>
        </w:rPr>
        <w:t>
      7) есепті кезеңнің басындағы құмар ойындарға қатысушылардың және (немесе) бәс тігулердің (резиденттер) саны туралы мәліметтер;</w:t>
      </w:r>
    </w:p>
    <w:p>
      <w:pPr>
        <w:spacing w:after="0"/>
        <w:ind w:left="0"/>
        <w:jc w:val="both"/>
      </w:pPr>
      <w:r>
        <w:rPr>
          <w:rFonts w:ascii="Times New Roman"/>
          <w:b w:val="false"/>
          <w:i w:val="false"/>
          <w:color w:val="000000"/>
          <w:sz w:val="28"/>
        </w:rPr>
        <w:t>
      8) есепті кезеңнің басындағы құмар ойындарға және (немесе) бәс тігуге (резиденттер емес) қатысушылардың саны туралы мәліметтер;</w:t>
      </w:r>
    </w:p>
    <w:p>
      <w:pPr>
        <w:spacing w:after="0"/>
        <w:ind w:left="0"/>
        <w:jc w:val="both"/>
      </w:pPr>
      <w:r>
        <w:rPr>
          <w:rFonts w:ascii="Times New Roman"/>
          <w:b w:val="false"/>
          <w:i w:val="false"/>
          <w:color w:val="000000"/>
          <w:sz w:val="28"/>
        </w:rPr>
        <w:t>
      9) кезең соңындағы құмар ойындарға және (немесе) бәс тігуге (резиденттер) қатысушылардың саны туралы мәліметтер;</w:t>
      </w:r>
    </w:p>
    <w:p>
      <w:pPr>
        <w:spacing w:after="0"/>
        <w:ind w:left="0"/>
        <w:jc w:val="both"/>
      </w:pPr>
      <w:r>
        <w:rPr>
          <w:rFonts w:ascii="Times New Roman"/>
          <w:b w:val="false"/>
          <w:i w:val="false"/>
          <w:color w:val="000000"/>
          <w:sz w:val="28"/>
        </w:rPr>
        <w:t>
      10) кезең соңындағы құмар ойындарға және (немесе) бәс тігуге қатысушылардың (резиденттер емес) саны туралы мәліметтер;</w:t>
      </w:r>
    </w:p>
    <w:p>
      <w:pPr>
        <w:spacing w:after="0"/>
        <w:ind w:left="0"/>
        <w:jc w:val="both"/>
      </w:pPr>
      <w:r>
        <w:rPr>
          <w:rFonts w:ascii="Times New Roman"/>
          <w:b w:val="false"/>
          <w:i w:val="false"/>
          <w:color w:val="000000"/>
          <w:sz w:val="28"/>
        </w:rPr>
        <w:t xml:space="preserve">
      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Заңның</w:t>
      </w:r>
      <w:r>
        <w:rPr>
          <w:rFonts w:ascii="Times New Roman"/>
          <w:b w:val="false"/>
          <w:i w:val="false"/>
          <w:color w:val="000000"/>
          <w:sz w:val="28"/>
        </w:rPr>
        <w:t xml:space="preserve"> негіздері бойынша қатысушылармен іскерлік қатынастар орнатудан бас тарту саны туралы мәліметтер;</w:t>
      </w:r>
    </w:p>
    <w:p>
      <w:pPr>
        <w:spacing w:after="0"/>
        <w:ind w:left="0"/>
        <w:jc w:val="both"/>
      </w:pPr>
      <w:r>
        <w:rPr>
          <w:rFonts w:ascii="Times New Roman"/>
          <w:b w:val="false"/>
          <w:i w:val="false"/>
          <w:color w:val="000000"/>
          <w:sz w:val="28"/>
        </w:rPr>
        <w:t>
      12) есепті кезеңде құмар ойындардың сол қатысушыларының ойын мекемелеріне бару саны туралы мәліметтер (10-нан аз бару, 10-нан астам бару, 50-ден астам бару);</w:t>
      </w:r>
    </w:p>
    <w:p>
      <w:pPr>
        <w:spacing w:after="0"/>
        <w:ind w:left="0"/>
        <w:jc w:val="both"/>
      </w:pPr>
      <w:r>
        <w:rPr>
          <w:rFonts w:ascii="Times New Roman"/>
          <w:b w:val="false"/>
          <w:i w:val="false"/>
          <w:color w:val="000000"/>
          <w:sz w:val="28"/>
        </w:rPr>
        <w:t>
      13) есепті кезеңде ойын бизнесі саласындағы қызметпен айналысуға лицензияны пайдаланғаны үшін төленген төлемақы сомасы туралы мәліметтер;</w:t>
      </w:r>
    </w:p>
    <w:p>
      <w:pPr>
        <w:spacing w:after="0"/>
        <w:ind w:left="0"/>
        <w:jc w:val="both"/>
      </w:pPr>
      <w:r>
        <w:rPr>
          <w:rFonts w:ascii="Times New Roman"/>
          <w:b w:val="false"/>
          <w:i w:val="false"/>
          <w:color w:val="000000"/>
          <w:sz w:val="28"/>
        </w:rPr>
        <w:t xml:space="preserve">
      14) "Ойын бизнесі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міндетті резервтер түріндегі әрбір лицензияға қамтамасыз ету сомасы туралы мәліметтер;</w:t>
      </w:r>
    </w:p>
    <w:p>
      <w:pPr>
        <w:spacing w:after="0"/>
        <w:ind w:left="0"/>
        <w:jc w:val="both"/>
      </w:pPr>
      <w:r>
        <w:rPr>
          <w:rFonts w:ascii="Times New Roman"/>
          <w:b w:val="false"/>
          <w:i w:val="false"/>
          <w:color w:val="000000"/>
          <w:sz w:val="28"/>
        </w:rPr>
        <w:t>
      15) құмар ойындарға және (немесе) бәс тігуге қатысушыларға төленген ұтыстардың сомалары туралы мәліметтер;</w:t>
      </w:r>
    </w:p>
    <w:p>
      <w:pPr>
        <w:spacing w:after="0"/>
        <w:ind w:left="0"/>
        <w:jc w:val="both"/>
      </w:pPr>
      <w:r>
        <w:rPr>
          <w:rFonts w:ascii="Times New Roman"/>
          <w:b w:val="false"/>
          <w:i w:val="false"/>
          <w:color w:val="000000"/>
          <w:sz w:val="28"/>
        </w:rPr>
        <w:t>
      16) есепті кезеңде жасалған мөлшерлемелердің жалпы сомасы туралы мәліметтер;</w:t>
      </w:r>
    </w:p>
    <w:p>
      <w:pPr>
        <w:spacing w:after="0"/>
        <w:ind w:left="0"/>
        <w:jc w:val="both"/>
      </w:pPr>
      <w:r>
        <w:rPr>
          <w:rFonts w:ascii="Times New Roman"/>
          <w:b w:val="false"/>
          <w:i w:val="false"/>
          <w:color w:val="000000"/>
          <w:sz w:val="28"/>
        </w:rPr>
        <w:t>
      17) ойын жабдығының атауы және түрі;</w:t>
      </w:r>
    </w:p>
    <w:p>
      <w:pPr>
        <w:spacing w:after="0"/>
        <w:ind w:left="0"/>
        <w:jc w:val="both"/>
      </w:pPr>
      <w:r>
        <w:rPr>
          <w:rFonts w:ascii="Times New Roman"/>
          <w:b w:val="false"/>
          <w:i w:val="false"/>
          <w:color w:val="000000"/>
          <w:sz w:val="28"/>
        </w:rPr>
        <w:t>
      18) ойын жабдығының саны;</w:t>
      </w:r>
    </w:p>
    <w:p>
      <w:pPr>
        <w:spacing w:after="0"/>
        <w:ind w:left="0"/>
        <w:jc w:val="both"/>
      </w:pPr>
      <w:r>
        <w:rPr>
          <w:rFonts w:ascii="Times New Roman"/>
          <w:b w:val="false"/>
          <w:i w:val="false"/>
          <w:color w:val="000000"/>
          <w:sz w:val="28"/>
        </w:rPr>
        <w:t>
      19) ойын жабдығының сериялық және (немесе) түгендеу нөмірі туралы мәліметтер;</w:t>
      </w:r>
    </w:p>
    <w:p>
      <w:pPr>
        <w:spacing w:after="0"/>
        <w:ind w:left="0"/>
        <w:jc w:val="both"/>
      </w:pPr>
      <w:r>
        <w:rPr>
          <w:rFonts w:ascii="Times New Roman"/>
          <w:b w:val="false"/>
          <w:i w:val="false"/>
          <w:color w:val="000000"/>
          <w:sz w:val="28"/>
        </w:rPr>
        <w:t>
      20) ойын жабдығын өндіруші туралы мәліметтер;</w:t>
      </w:r>
    </w:p>
    <w:p>
      <w:pPr>
        <w:spacing w:after="0"/>
        <w:ind w:left="0"/>
        <w:jc w:val="both"/>
      </w:pPr>
      <w:r>
        <w:rPr>
          <w:rFonts w:ascii="Times New Roman"/>
          <w:b w:val="false"/>
          <w:i w:val="false"/>
          <w:color w:val="000000"/>
          <w:sz w:val="28"/>
        </w:rPr>
        <w:t>
      21) ойын жабдығының, ойын автоматтарының техникалық жай-күйі туралы мәліметтер;</w:t>
      </w:r>
    </w:p>
    <w:p>
      <w:pPr>
        <w:spacing w:after="0"/>
        <w:ind w:left="0"/>
        <w:jc w:val="both"/>
      </w:pPr>
      <w:r>
        <w:rPr>
          <w:rFonts w:ascii="Times New Roman"/>
          <w:b w:val="false"/>
          <w:i w:val="false"/>
          <w:color w:val="000000"/>
          <w:sz w:val="28"/>
        </w:rPr>
        <w:t>
      22) технологиялық тұрғыдан ойын автоматына салынған ұтыстың белгіленген пайызы туралы мәліметтер;</w:t>
      </w:r>
    </w:p>
    <w:p>
      <w:pPr>
        <w:spacing w:after="0"/>
        <w:ind w:left="0"/>
        <w:jc w:val="both"/>
      </w:pPr>
      <w:r>
        <w:rPr>
          <w:rFonts w:ascii="Times New Roman"/>
          <w:b w:val="false"/>
          <w:i w:val="false"/>
          <w:color w:val="000000"/>
          <w:sz w:val="28"/>
        </w:rPr>
        <w:t>
      23) бейне жазу жүйелерінің техникалық жай-күйі туралы, оның ішінде бейне жазу жүйесінің атауы, жабдықтың саны, тестілеу күні туралы мәліметтер;</w:t>
      </w:r>
    </w:p>
    <w:p>
      <w:pPr>
        <w:spacing w:after="0"/>
        <w:ind w:left="0"/>
        <w:jc w:val="both"/>
      </w:pPr>
      <w:r>
        <w:rPr>
          <w:rFonts w:ascii="Times New Roman"/>
          <w:b w:val="false"/>
          <w:i w:val="false"/>
          <w:color w:val="000000"/>
          <w:sz w:val="28"/>
        </w:rPr>
        <w:t>
      24) касса (лар) туралы, оның ішінде кассаның түрі, саны және орналасқан жері туралы мәліметтер (мекен-жайы);</w:t>
      </w:r>
    </w:p>
    <w:p>
      <w:pPr>
        <w:spacing w:after="0"/>
        <w:ind w:left="0"/>
        <w:jc w:val="both"/>
      </w:pPr>
      <w:r>
        <w:rPr>
          <w:rFonts w:ascii="Times New Roman"/>
          <w:b w:val="false"/>
          <w:i w:val="false"/>
          <w:color w:val="000000"/>
          <w:sz w:val="28"/>
        </w:rPr>
        <w:t>
      25) мемлекеттік кірістер органдарында салық салу объектілерін/касса (ларды) тіркеу есебіне қою туралы мәліметтер;</w:t>
      </w:r>
    </w:p>
    <w:p>
      <w:pPr>
        <w:spacing w:after="0"/>
        <w:ind w:left="0"/>
        <w:jc w:val="both"/>
      </w:pPr>
      <w:r>
        <w:rPr>
          <w:rFonts w:ascii="Times New Roman"/>
          <w:b w:val="false"/>
          <w:i w:val="false"/>
          <w:color w:val="000000"/>
          <w:sz w:val="28"/>
        </w:rPr>
        <w:t>
      26) үстелдер санының өзгеруі, жабдықты ауыстыру, оның ішінде ауыстырылған жабдықтың сериялық немесе түгендеу нөмірі туралы мәліметтер;</w:t>
      </w:r>
    </w:p>
    <w:p>
      <w:pPr>
        <w:spacing w:after="0"/>
        <w:ind w:left="0"/>
        <w:jc w:val="both"/>
      </w:pPr>
      <w:r>
        <w:rPr>
          <w:rFonts w:ascii="Times New Roman"/>
          <w:b w:val="false"/>
          <w:i w:val="false"/>
          <w:color w:val="000000"/>
          <w:sz w:val="28"/>
        </w:rPr>
        <w:t>
      27) үстелдер санының өзгеруі, жабдықты ауыстыру туралы, оның ішінде лицензия алған кезде көрсетілген ойын үстелдерінің саны туралы мәліметтер;</w:t>
      </w:r>
    </w:p>
    <w:p>
      <w:pPr>
        <w:spacing w:after="0"/>
        <w:ind w:left="0"/>
        <w:jc w:val="both"/>
      </w:pPr>
      <w:r>
        <w:rPr>
          <w:rFonts w:ascii="Times New Roman"/>
          <w:b w:val="false"/>
          <w:i w:val="false"/>
          <w:color w:val="000000"/>
          <w:sz w:val="28"/>
        </w:rPr>
        <w:t>
      28) үстелдер санының өзгеруі, жабдықты ауыстыру туралы мәліметтер, оның ішінде ойын үстелдерінің санын ұлғайту және қысқарту туралы ақпарат;</w:t>
      </w:r>
    </w:p>
    <w:p>
      <w:pPr>
        <w:spacing w:after="0"/>
        <w:ind w:left="0"/>
        <w:jc w:val="both"/>
      </w:pPr>
      <w:r>
        <w:rPr>
          <w:rFonts w:ascii="Times New Roman"/>
          <w:b w:val="false"/>
          <w:i w:val="false"/>
          <w:color w:val="000000"/>
          <w:sz w:val="28"/>
        </w:rPr>
        <w:t>
      29) ойын бизнесін ұйымдастырушының құрылтайшылар құрамындағы бенефициарлық меншік иелері, басшылары және ойын бизнесін ұйымдастырушының бірінші басшылары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м.а. 15.12.2025 </w:t>
      </w:r>
      <w:r>
        <w:rPr>
          <w:rFonts w:ascii="Times New Roman"/>
          <w:b w:val="false"/>
          <w:i w:val="false"/>
          <w:color w:val="00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6. Есептілік ойын бизнесін ұйымдастырушы басшының не оны алмастыратын тұлғаның (міндеттерді жүктеу туралы бұйрық көшірмесін қоса беріп) қолымен, сондай-ақ ұйымның мөрімен куәландырылады (болған жағдайда) және уәкілетті органға жіберіледі.</w:t>
      </w:r>
    </w:p>
    <w:bookmarkEnd w:id="17"/>
    <w:bookmarkStart w:name="z18" w:id="18"/>
    <w:p>
      <w:pPr>
        <w:spacing w:after="0"/>
        <w:ind w:left="0"/>
        <w:jc w:val="both"/>
      </w:pPr>
      <w:r>
        <w:rPr>
          <w:rFonts w:ascii="Times New Roman"/>
          <w:b w:val="false"/>
          <w:i w:val="false"/>
          <w:color w:val="000000"/>
          <w:sz w:val="28"/>
        </w:rPr>
        <w:t>
      7. Ұсынылған есептілік уәкілетті органда тіркеледі және оны оның тиісті құрылымдық бөлімшесі қарайды.</w:t>
      </w:r>
    </w:p>
    <w:bookmarkEnd w:id="18"/>
    <w:bookmarkStart w:name="z19" w:id="19"/>
    <w:p>
      <w:pPr>
        <w:spacing w:after="0"/>
        <w:ind w:left="0"/>
        <w:jc w:val="left"/>
      </w:pPr>
      <w:r>
        <w:rPr>
          <w:rFonts w:ascii="Times New Roman"/>
          <w:b/>
          <w:i w:val="false"/>
          <w:color w:val="000000"/>
        </w:rPr>
        <w:t xml:space="preserve"> 3-тарау. Есептілікті талдауды жүзеге асыру тәртібі</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08.07.2021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 w:id="20"/>
    <w:p>
      <w:pPr>
        <w:spacing w:after="0"/>
        <w:ind w:left="0"/>
        <w:jc w:val="both"/>
      </w:pPr>
      <w:r>
        <w:rPr>
          <w:rFonts w:ascii="Times New Roman"/>
          <w:b w:val="false"/>
          <w:i w:val="false"/>
          <w:color w:val="000000"/>
          <w:sz w:val="28"/>
        </w:rPr>
        <w:t>
      8. Уәкілетті орган ұсынылған есептіліктің негізінде барлық қажетті деректердің болуына және толықтығына талдауды жүзеге асырады.</w:t>
      </w:r>
    </w:p>
    <w:bookmarkEnd w:id="20"/>
    <w:p>
      <w:pPr>
        <w:spacing w:after="0"/>
        <w:ind w:left="0"/>
        <w:jc w:val="both"/>
      </w:pPr>
      <w:r>
        <w:rPr>
          <w:rFonts w:ascii="Times New Roman"/>
          <w:b w:val="false"/>
          <w:i w:val="false"/>
          <w:color w:val="000000"/>
          <w:sz w:val="28"/>
        </w:rPr>
        <w:t>
      Ұсынылған есептілікті талдауға мыналар кіреді:</w:t>
      </w:r>
    </w:p>
    <w:p>
      <w:pPr>
        <w:spacing w:after="0"/>
        <w:ind w:left="0"/>
        <w:jc w:val="both"/>
      </w:pPr>
      <w:r>
        <w:rPr>
          <w:rFonts w:ascii="Times New Roman"/>
          <w:b w:val="false"/>
          <w:i w:val="false"/>
          <w:color w:val="000000"/>
          <w:sz w:val="28"/>
        </w:rPr>
        <w:t xml:space="preserve">
      1) ойын бизнесін ұйымдастырушыларға қойылатын </w:t>
      </w:r>
      <w:r>
        <w:rPr>
          <w:rFonts w:ascii="Times New Roman"/>
          <w:b w:val="false"/>
          <w:i w:val="false"/>
          <w:color w:val="000000"/>
          <w:sz w:val="28"/>
        </w:rPr>
        <w:t>біліктілік талаптарға</w:t>
      </w:r>
      <w:r>
        <w:rPr>
          <w:rFonts w:ascii="Times New Roman"/>
          <w:b w:val="false"/>
          <w:i w:val="false"/>
          <w:color w:val="000000"/>
          <w:sz w:val="28"/>
        </w:rPr>
        <w:t xml:space="preserve"> сәйкес келу тұрғысына қарау;</w:t>
      </w:r>
    </w:p>
    <w:p>
      <w:pPr>
        <w:spacing w:after="0"/>
        <w:ind w:left="0"/>
        <w:jc w:val="both"/>
      </w:pPr>
      <w:r>
        <w:rPr>
          <w:rFonts w:ascii="Times New Roman"/>
          <w:b w:val="false"/>
          <w:i w:val="false"/>
          <w:color w:val="000000"/>
          <w:sz w:val="28"/>
        </w:rPr>
        <w:t>
      2) есептілікті тапсырмау немесе толық тапсырмау бойынша мәліметтерді қалыптастыру.</w:t>
      </w:r>
    </w:p>
    <w:bookmarkStart w:name="z21" w:id="21"/>
    <w:p>
      <w:pPr>
        <w:spacing w:after="0"/>
        <w:ind w:left="0"/>
        <w:jc w:val="both"/>
      </w:pPr>
      <w:r>
        <w:rPr>
          <w:rFonts w:ascii="Times New Roman"/>
          <w:b w:val="false"/>
          <w:i w:val="false"/>
          <w:color w:val="000000"/>
          <w:sz w:val="28"/>
        </w:rPr>
        <w:t>
      9. Талдау нәтижелері ойын бизнесі саласындағы мемлекеттік саясатты жетілдіру бойынша ұсыныстарды дайындау және бақылау субъектісіне (объектісіне) бармай профилактикалық бақылау жүргізу кезінде пайдаланылады.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көзделген – ҚР Туризм және спорт министрінің м.а. 26.12.2023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10. Уәкілетті орган есептілікті жинау, қорытындылау және талдау жолымен ойын бизнесі ұйымдастырушыларының біліктілік талаптарды сақтауы туралы мәліметтерді қалыптастырады.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