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c7d9" w14:textId="214c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2015 жылғы 29 шілдедегі № 426 бұйрығы. Қазақстан Республикасының Әділет министрлігінде 2015 жылы 12 тамызда № 11865 болып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 енгізілсін:</w:t>
      </w:r>
      <w:r>
        <w:br/>
      </w:r>
      <w:r>
        <w:rPr>
          <w:rFonts w:ascii="Times New Roman"/>
          <w:b w:val="false"/>
          <w:i w:val="false"/>
          <w:color w:val="000000"/>
          <w:sz w:val="28"/>
        </w:rPr>
        <w:t>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1 «Ағымдағы шығындар» санатында:</w:t>
      </w:r>
      <w:r>
        <w:br/>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шарттары бойынша шығыстарды төлеу кезiнде; банк қызметтерiн төлеу кезiнде;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бюджеттiк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Қазақстан Республикасы Инвестициялар және даму министрлігі әкімшісі болып табылатын «Қазақстанның салалық бәсекеге қабілеттілігін арттыру стратегиясы» бюджеттік бағдарламасы бойынша, Қазақстан Республикасы Білім және ғылым министрлігі әкімшісі болып табылатын «Білім және ғылым саласындағы әдіснамалықты қамтамасыз ету» бюджеттік бағдарламасы бойынша,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 бюджеттік бағдарламалары бойынша Қазақстан Республикасы Үкіметі мен ЭЫДҰ арасында жасалған келісімдер бойынша ақша қаражатын аудару кезінде, Қазақстан Республикасы Денсаулық сақтау және әлеуметтік даму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Сыртқы істер министрлiгi әкiмшiсi болып табылатын «Ақпараттық-имидждік саясаттың іске асырылуын қамтамасыз ету», «Қазақстан Республикасының дипломатиялық өкiлдiктерiн орналастыру үшін шетелде жылжымайтын мүлік объектiлерiн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кейiннен аудару үшiн және айырбастау үшін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 төлеу кезiнде, халықаралық төрелік органдар мен шетелдік соттардың шешiмдерi бойынша шығарылған төрелік шығыстар мен сот шығыстарын төлеу кезiнде. Азаматтық-құқықтық мәмiле жасаспай 100 еселенген айлық есептiк көрсеткiштен аспайтын сомаға шығыстар бойынша төлемдердi жүргізуді растайтын құжаттарды қоса берусіз,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(З.А. Ерназарова) заңнамада белгіленген тәртіпте:</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3. Осы бұйрық Қазақстан Республикасы Әдiлет министрлiгiнде мемлекеттiк тiркелген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министрінің міндетін атқарушы        Р. Бекетаев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