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952" w14:textId="e248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ақпандағы № 18-04/120 бұйрығы. Қазақстан Республикасының Әділет министрлігінде 2015 жылы 26 наурызда № 10537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және республикалық маңызы бар балық шаруашылығы су айдындарының және (немесе)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жариялануға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18-04/120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 айдындарының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теңізі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Каспий теңізі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Жайық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Қиғаш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Ертіс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Жайсан көлі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Ертіс езеніндегі Бұқтырма су қоймасы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Ертіс өзеніндегі Өскемен су қоймасы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Ертіс өзеніндегі Шульбинское су қоймасы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Есіл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Тобыл өзені (халықаралық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Сырдария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Сырдария өзеніндегі Шардара су қоймасы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Іле өзені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Іле өзеніндегі Қапшағай су қоймасы (халықаралық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Нұра өзені (республикалық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Сілеті өзені (республикалық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Алакөл көлдер жүйесі (республикалық маңызы бар)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Балқаш көлі (республикалық маңызы бар)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Қаныш Сәтпаев атындағы канал (республикалық маңызы бар)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