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1e6" w14:textId="0278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4 мамырдағы № 99 "Мұрағаттық анықтамалар беру" мемлекеттік көрсетілетін қызмет регламентін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28 қазандағы № 281 қаулысы. Батыс Қазақстан облысының Әділет департаментінде 2014 жылғы 17 қарашада № 3689 болып тіркелді. Күші жойылды - Батыс Қазақстан облысы әкімдігінің 2015 жылғы 16 шілдедегі №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16.07.2015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«Мемлекеттік көрсетілетін қызметтер </w:t>
      </w:r>
      <w:r>
        <w:rPr>
          <w:rFonts w:ascii="Times New Roman"/>
          <w:b w:val="false"/>
          <w:i w:val="false"/>
          <w:color w:val="000000"/>
          <w:sz w:val="28"/>
        </w:rPr>
        <w:t>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 басшылыққа ала отырып және «Мемлекеттік көрсетілетін қызметтердің стандарттары мен регламенттерін әзірлеу жөніндегі қағиданы бекіту туралы» 2013 жылғы 14 тамыздағы № 249 Қазақстан Республикасы Экономика және бюджеттік жоспарлау министрінің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 2014 жылғы 4 мамырдағы № 99 «Мұрағаттық анықтамалар беру» мемлекеттік көрсетілетін қызмет регламентін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3563 тіркелген, 2014 жылғы 3 шілдеде «Орал өңірі» және «Приуралье»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«Мұрағаттық анықтамалар беру» мемлекеттік көрсетілетін қызмет регламенті мынадай мазмұндағы 14-тармақпен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5-қосымшасына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«Мұрағаттық анықтамалар беру» мемлекеттік көрсетілетін қызмет регламенті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«Батыс Қазақстан облысының мәдениет, мұрағаттар және құжаттама басқармасы» мемлекеттік мекемесі (Д. А. Құсайынов) осы қаулының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Батыс Қазақстан облысы әкімінің орынбасары Б. М. 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жылғы 28 қазандағы №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«Мұрағаттық анықтамалар беру»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«Мұрағаттық анықтамалар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 анықтамалығы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9588500" cy="1057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