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289d" w14:textId="1f52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25 тамыздағы № 273 қаулысы. Оңтүстік Қазақстан облысының Әділет департаментінде 2014 жылғы 2 қазанда № 2818 болып тіркелді. Күші жойылды - Оңтүстік Қазақстан облыстық әкімдігінің 2015 жылғы 6 қазандағы № 314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06.10.2015 № 314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6" w:id="1"/>
    <w:p>
      <w:pPr>
        <w:spacing w:after="0"/>
        <w:ind w:left="0"/>
        <w:jc w:val="both"/>
      </w:pPr>
      <w:r>
        <w:rPr>
          <w:rFonts w:ascii="Times New Roman"/>
          <w:b w:val="false"/>
          <w:i w:val="false"/>
          <w:color w:val="000000"/>
          <w:sz w:val="28"/>
        </w:rPr>
        <w:t>
Оңтүстік Қазақстан облысы</w:t>
      </w:r>
      <w:r>
        <w:br/>
      </w:r>
      <w:r>
        <w:rPr>
          <w:rFonts w:ascii="Times New Roman"/>
          <w:b w:val="false"/>
          <w:i w:val="false"/>
          <w:color w:val="000000"/>
          <w:sz w:val="28"/>
        </w:rPr>
        <w:t>
әкімдігінің 2014 жылғы 25 тамыздағы</w:t>
      </w:r>
      <w:r>
        <w:br/>
      </w:r>
      <w:r>
        <w:rPr>
          <w:rFonts w:ascii="Times New Roman"/>
          <w:b w:val="false"/>
          <w:i w:val="false"/>
          <w:color w:val="000000"/>
          <w:sz w:val="28"/>
        </w:rPr>
        <w:t>
№ 273 қаулысына қосымша</w:t>
      </w:r>
    </w:p>
    <w:bookmarkEnd w:id="1"/>
    <w:bookmarkStart w:name="z7" w:id="2"/>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қызметінің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қызметі (бұдан әрі-мемлекеттік көрсетілетін қызмет) «Оңтүстік Қазақстан облысының ауыл шаруашылығы басқармасы» мемлекеттік мекемесімен (бұдан әрі-көрсетілетін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берушімен, сондай ақ «электрондық үкіметтің» www.egov.kz веб-порталы (бұдан әрі-Портал)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қайта ресімдеу, лицензияның телнұсқасы не Қазақстан Республикасы Үкіметінің 2014 жылғы 12 ақпандағы № 78 </w:t>
      </w:r>
      <w:r>
        <w:rPr>
          <w:rFonts w:ascii="Times New Roman"/>
          <w:b w:val="false"/>
          <w:i w:val="false"/>
          <w:color w:val="000000"/>
          <w:sz w:val="28"/>
        </w:rPr>
        <w:t>қаулысымен</w:t>
      </w:r>
      <w:r>
        <w:rPr>
          <w:rFonts w:ascii="Times New Roman"/>
          <w:b w:val="false"/>
          <w:i w:val="false"/>
          <w:color w:val="000000"/>
          <w:sz w:val="28"/>
        </w:rPr>
        <w:t xml:space="preserve">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қайта ресімдеу, лицензияның телнұсқасын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мемлекеттік қызмет көрсетуден бас тарту туралы дәлелді жауабы.</w:t>
      </w:r>
    </w:p>
    <w:bookmarkEnd w:id="4"/>
    <w:bookmarkStart w:name="z12"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3" w:id="6"/>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2) көрсетілетін қызметті берушінің уәкілетті қызметкері қабылдаған құжаттарды ақпараттық жүйеге тіркеп, 10 минуттың ішінде ақпараттық жүйе арқылы көрсетілетін қызметті берушінің басшылығына жолдайды;</w:t>
      </w:r>
      <w:r>
        <w:br/>
      </w: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r>
        <w:br/>
      </w:r>
      <w:r>
        <w:rPr>
          <w:rFonts w:ascii="Times New Roman"/>
          <w:b w:val="false"/>
          <w:i w:val="false"/>
          <w:color w:val="000000"/>
          <w:sz w:val="28"/>
        </w:rPr>
        <w:t>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r>
        <w:br/>
      </w: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баспабетінде дәлелді бас тарту хатын көшіре алады.</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10"/>
    <w:bookmarkStart w:name="z22" w:id="11"/>
    <w:p>
      <w:pPr>
        <w:spacing w:after="0"/>
        <w:ind w:left="0"/>
        <w:jc w:val="both"/>
      </w:pPr>
      <w:r>
        <w:rPr>
          <w:rFonts w:ascii="Times New Roman"/>
          <w:b w:val="false"/>
          <w:i w:val="false"/>
          <w:color w:val="000000"/>
          <w:sz w:val="28"/>
        </w:rPr>
        <w:t>
«Пестицидтердi (улы химикаттарды) өндiру</w:t>
      </w:r>
      <w:r>
        <w:br/>
      </w:r>
      <w:r>
        <w:rPr>
          <w:rFonts w:ascii="Times New Roman"/>
          <w:b w:val="false"/>
          <w:i w:val="false"/>
          <w:color w:val="000000"/>
          <w:sz w:val="28"/>
        </w:rPr>
        <w:t>
(формуляциялау), пестицидтердi (улы химикаттарды)</w:t>
      </w:r>
      <w:r>
        <w:br/>
      </w:r>
      <w:r>
        <w:rPr>
          <w:rFonts w:ascii="Times New Roman"/>
          <w:b w:val="false"/>
          <w:i w:val="false"/>
          <w:color w:val="000000"/>
          <w:sz w:val="28"/>
        </w:rPr>
        <w:t>
өткiзу, пестицидтердi (улы химикаттарды) аэрозольдiк</w:t>
      </w:r>
      <w:r>
        <w:br/>
      </w:r>
      <w:r>
        <w:rPr>
          <w:rFonts w:ascii="Times New Roman"/>
          <w:b w:val="false"/>
          <w:i w:val="false"/>
          <w:color w:val="000000"/>
          <w:sz w:val="28"/>
        </w:rPr>
        <w:t>
және фумигациялық тәсiлдермен қолдану жөніндегі қызметті</w:t>
      </w:r>
      <w:r>
        <w:br/>
      </w:r>
      <w:r>
        <w:rPr>
          <w:rFonts w:ascii="Times New Roman"/>
          <w:b w:val="false"/>
          <w:i w:val="false"/>
          <w:color w:val="000000"/>
          <w:sz w:val="28"/>
        </w:rPr>
        <w:t>
жүзеге асыруға лицензия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рәсімдері (іс-қимылдары) реттілігінің блок-схема түрінде сипатталуы және мемлекеттік қызмет көрсетудің бизнес-процестерінің анықтамалығы</w:t>
      </w:r>
    </w:p>
    <w:p>
      <w:pPr>
        <w:spacing w:after="0"/>
        <w:ind w:left="0"/>
        <w:jc w:val="both"/>
      </w:pPr>
      <w:r>
        <w:drawing>
          <wp:inline distT="0" distB="0" distL="0" distR="0">
            <wp:extent cx="58928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6096000"/>
                    </a:xfrm>
                    <a:prstGeom prst="rect">
                      <a:avLst/>
                    </a:prstGeom>
                  </pic:spPr>
                </pic:pic>
              </a:graphicData>
            </a:graphic>
          </wp:inline>
        </w:drawing>
      </w:r>
    </w:p>
    <w:bookmarkStart w:name="z23" w:id="12"/>
    <w:p>
      <w:pPr>
        <w:spacing w:after="0"/>
        <w:ind w:left="0"/>
        <w:jc w:val="both"/>
      </w:pPr>
      <w:r>
        <w:rPr>
          <w:rFonts w:ascii="Times New Roman"/>
          <w:b w:val="false"/>
          <w:i w:val="false"/>
          <w:color w:val="000000"/>
          <w:sz w:val="28"/>
        </w:rPr>
        <w:t>
«Пестицидтердi (улы химикаттарды) өндiру</w:t>
      </w:r>
      <w:r>
        <w:br/>
      </w:r>
      <w:r>
        <w:rPr>
          <w:rFonts w:ascii="Times New Roman"/>
          <w:b w:val="false"/>
          <w:i w:val="false"/>
          <w:color w:val="000000"/>
          <w:sz w:val="28"/>
        </w:rPr>
        <w:t>
(формуляциялау), пестицидтердi (улы химикаттарды)</w:t>
      </w:r>
      <w:r>
        <w:br/>
      </w:r>
      <w:r>
        <w:rPr>
          <w:rFonts w:ascii="Times New Roman"/>
          <w:b w:val="false"/>
          <w:i w:val="false"/>
          <w:color w:val="000000"/>
          <w:sz w:val="28"/>
        </w:rPr>
        <w:t>
өткiзу, пестицидтердi (улы химикаттарды) аэрозольдiк</w:t>
      </w:r>
      <w:r>
        <w:br/>
      </w:r>
      <w:r>
        <w:rPr>
          <w:rFonts w:ascii="Times New Roman"/>
          <w:b w:val="false"/>
          <w:i w:val="false"/>
          <w:color w:val="000000"/>
          <w:sz w:val="28"/>
        </w:rPr>
        <w:t>
және фумигациялық тәсiлдермен қолдану жөніндегі</w:t>
      </w:r>
      <w:r>
        <w:br/>
      </w:r>
      <w:r>
        <w:rPr>
          <w:rFonts w:ascii="Times New Roman"/>
          <w:b w:val="false"/>
          <w:i w:val="false"/>
          <w:color w:val="000000"/>
          <w:sz w:val="28"/>
        </w:rPr>
        <w:t>
қызметті жүзеге асыруға лицензия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бизнес-процестерінің анықтамалығы</w:t>
      </w:r>
    </w:p>
    <w:p>
      <w:pPr>
        <w:spacing w:after="0"/>
        <w:ind w:left="0"/>
        <w:jc w:val="both"/>
      </w:pPr>
      <w:r>
        <w:drawing>
          <wp:inline distT="0" distB="0" distL="0" distR="0">
            <wp:extent cx="93726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72600" cy="41275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p>
    <w:p>
      <w:pPr>
        <w:spacing w:after="0"/>
        <w:ind w:left="0"/>
        <w:jc w:val="both"/>
      </w:pPr>
      <w:r>
        <w:drawing>
          <wp:inline distT="0" distB="0" distL="0" distR="0">
            <wp:extent cx="60960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96000" cy="3175000"/>
                    </a:xfrm>
                    <a:prstGeom prst="rect">
                      <a:avLst/>
                    </a:prstGeom>
                  </pic:spPr>
                </pic:pic>
              </a:graphicData>
            </a:graphic>
          </wp:inline>
        </w:drawing>
      </w:r>
    </w:p>
    <w:bookmarkStart w:name="z24" w:id="13"/>
    <w:p>
      <w:pPr>
        <w:spacing w:after="0"/>
        <w:ind w:left="0"/>
        <w:jc w:val="both"/>
      </w:pPr>
      <w:r>
        <w:rPr>
          <w:rFonts w:ascii="Times New Roman"/>
          <w:b w:val="false"/>
          <w:i w:val="false"/>
          <w:color w:val="000000"/>
          <w:sz w:val="28"/>
        </w:rPr>
        <w:t>
«Пестицидтердi (улы химикаттарды) өндiру</w:t>
      </w:r>
      <w:r>
        <w:br/>
      </w:r>
      <w:r>
        <w:rPr>
          <w:rFonts w:ascii="Times New Roman"/>
          <w:b w:val="false"/>
          <w:i w:val="false"/>
          <w:color w:val="000000"/>
          <w:sz w:val="28"/>
        </w:rPr>
        <w:t>
(формуляциялау), пестицидтердi (улы химикаттарды)</w:t>
      </w:r>
      <w:r>
        <w:br/>
      </w:r>
      <w:r>
        <w:rPr>
          <w:rFonts w:ascii="Times New Roman"/>
          <w:b w:val="false"/>
          <w:i w:val="false"/>
          <w:color w:val="000000"/>
          <w:sz w:val="28"/>
        </w:rPr>
        <w:t>
өткiзу, пестицидтердi (улы химикаттарды) аэрозольдiк</w:t>
      </w:r>
      <w:r>
        <w:br/>
      </w:r>
      <w:r>
        <w:rPr>
          <w:rFonts w:ascii="Times New Roman"/>
          <w:b w:val="false"/>
          <w:i w:val="false"/>
          <w:color w:val="000000"/>
          <w:sz w:val="28"/>
        </w:rPr>
        <w:t>
және фумигациялық тәсiлдермен қолдану жөніндегі</w:t>
      </w:r>
      <w:r>
        <w:br/>
      </w:r>
      <w:r>
        <w:rPr>
          <w:rFonts w:ascii="Times New Roman"/>
          <w:b w:val="false"/>
          <w:i w:val="false"/>
          <w:color w:val="000000"/>
          <w:sz w:val="28"/>
        </w:rPr>
        <w:t>
қызметті жүзеге асыруға лицензия беру, қайта ресімдеу,</w:t>
      </w:r>
      <w:r>
        <w:br/>
      </w:r>
      <w:r>
        <w:rPr>
          <w:rFonts w:ascii="Times New Roman"/>
          <w:b w:val="false"/>
          <w:i w:val="false"/>
          <w:color w:val="000000"/>
          <w:sz w:val="28"/>
        </w:rPr>
        <w:t>
лицензияның телнұсқасын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тәртібінің графика түрінде сипатталуы және мемлекеттік қызмет көрсетудің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3041"/>
        <w:gridCol w:w="2542"/>
        <w:gridCol w:w="2529"/>
        <w:gridCol w:w="2986"/>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құжаттарды ақпараттық жүйеге тіркеп, 10 минуттың ішінде ақпараттық жүйе арқылы көрсетілетін қызметті берушінің басшылығына жолдайды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