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360f" w14:textId="5f43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ставкаларды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2014 жылғы 29 тамыздағы № 205 шешімі. Қостанай облысының Әділет департаментінде 2014 жылғы 16 қыркүйекте № 5081 болып тіркелді. Күші жойылды - Қостанай облысы Сарыкөл ауданы мәслихатының 2016 жылғы 1 наурыздағы № 316 шешімімен</w:t>
      </w:r>
    </w:p>
    <w:p>
      <w:pPr>
        <w:spacing w:after="0"/>
        <w:ind w:left="0"/>
        <w:jc w:val="left"/>
      </w:pPr>
      <w:r>
        <w:rPr>
          <w:rFonts w:ascii="Times New Roman"/>
          <w:b w:val="false"/>
          <w:i w:val="false"/>
          <w:color w:val="ff0000"/>
          <w:sz w:val="28"/>
        </w:rPr>
        <w:t xml:space="preserve">      Ескерту. Күші жойылды – Қостанай облысы Сарыкөл ауданы мәслихатының 01.03.2016 </w:t>
      </w:r>
      <w:r>
        <w:rPr>
          <w:rFonts w:ascii="Times New Roman"/>
          <w:b w:val="false"/>
          <w:i w:val="false"/>
          <w:color w:val="ff0000"/>
          <w:sz w:val="28"/>
        </w:rPr>
        <w:t>№ 316</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Аудандық бюджет қаражаты есебiнен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белгiленсін.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xml:space="preserve">
      1) аудандық мәслихаттың 2011 жылғы 22 желтоқсандағы № 310 "Ауылдық жерде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ставкаларды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9-17-131 тіркелген, 2012 жылғы 19 қаңтарда "Сарыкөл"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2013 жылғы 23 қазандағы № 115 "Мәслихаттың 2011 жылғы 22 желтоқсандағы № 310 "Ауылдық (селолық) жерде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ставкаларды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4290 тіркелген, 2013 жылғы 21 қарашада "Сарыкөл"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Мелоян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