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d171" w14:textId="92bd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6 мамырдағы № 92 "Мұрағаттық анықтамалар беру" мемлекеттік көрсетілетін қызмет регламентін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21 қарашадағы № 286 қаулысы. Маңғыстау облысы Әділет департаментінде 2014 жылғы 26 желтоқсанда № 2564 болып тіркелді. Күші жойылды - Маңғыстау облысы әкімдігінің 2015 жылғы 10 тамыздағы № 238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Маңғыстау облысы әкімдігінің 10.08.2015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238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көрсетілетін қызметтердің стандарттары мен регламенттерін әзірлеу жөніндегі қағиданы бекіту туралы» Қазақстан Республикасы Экономика және бюджеттік жоспарлау министрінің 2013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 енгізу туралы» 2014 жылғы 12 мамырдағы № 133 Қазақстан Республикасы Экономика және бюджеттік жоспарлау министрінің бұйрығына (Нормативтік құқықтық актілерді тіркеу тізілімінде № 9432 болып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2014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«Мұрағаттық анықтамалар беру» мемлекеттік көрсетілетін қызмет регламентін бекіту туралы» қаулысына (Нормативтік құқықтық актілерді мемлекеттік тіркеу тізілімінде № 2446 болып тіркелген, 2014 жылғы 25 маусымда «Әділет» ақпараттық құқықтық жүйесінде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«Мұрағаттық анықтамалар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19 –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іс-қимылының толық сипаттамасы, сондай-ақ басқа да қызмет берушілермен және (немесе) ХҚКО-мен мемлекеттік қызмет көрсету процесіндегі өзара іс-қимылының тәртібі және ақпараттық жүйелерді пайдалану тәртібі осы Регламенттің 4-қосымшасына сәйкес мемлекеттік қызмет көрсету бизнес-процестерінің анықтамалығында көрсетіледі. Мемлекеттік қызмет көрсетудің бизнес-процестерінің анықтамалығы көрсетілетін қызмет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 қосымшаға сәйкес 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мұрағаттар мен құжаттама басқармасы» мемлекеттік мекемесі (А.М. Еділхан) 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Б.Ғ. Нұрғазиеваға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мұрағаттар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 құжаттама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А.М. Еділхан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қараша 2014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караша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«Мұрағаттық анықтамалар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87630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