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f1e" w14:textId="d4ab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25 қыркүйектегі № 279 қаулысы. Жамбыл облысының Әділет департаментінде 2014 жылғы 4 қарашада № 2361 болып тіркелді. Күші жойылды – Жамбыл облысы әкімдігінің 2015 жылғы 31 желтоқсандағы № 336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31.12.2015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"Медициналық қызмет саласындағы мемлекеттік көрсетілетін қызмет стандарттарын бекіту туралы" Қазақстан Республикасы Үкіметінің 2014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"Фармацевтикалық қызмет саласындағы мемлекеттік көрсетілетін қызметтер стандарттарын бекіту туралы" Қазақстан Республикасы Үкіметінің 2014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Жамбыл облысы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Жамбыл облысы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– Жамбыл облысы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денсаулық сақтау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қаулысымен бекiтiлген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"Фармацевтикалық қызметке лицензиялар беру, қайта ресімдеу, лицензияның телнұсқаларын беру" мемлекеттік көрсетілетін қызмет регламенті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қаулысымен бекiтiлген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беру" мемлекеттік көрсетілетін қызмет регламенті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Жамбыл облысы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қаулысымен бекiтiлген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беру, қайта ресімдеу, лицензияның телнұсқасын беру" мемлекеттік көрсетілетін қызмет регламенті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30.07.2015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