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bdd5" w14:textId="9a2b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Озонды бұзатын заттарды 2014-2015 жылдар кезеңінде тұтыну лимиттерін (квоталарын)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2014 жылғы 6 қарашадағы № 108 бұйрығы. Қазақстан Республикасының Әділет министрлігінде 2014 жылы 11 желтоқсанда № 9955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1997 жылғы 30 қазандағы Заңымен қосылған Қазақстан Республикасының Озон қабатын бұзатын заттар жөніндегі Монреаль </w:t>
      </w:r>
      <w:r>
        <w:rPr>
          <w:rFonts w:ascii="Times New Roman"/>
          <w:b w:val="false"/>
          <w:i w:val="false"/>
          <w:color w:val="000000"/>
          <w:sz w:val="28"/>
        </w:rPr>
        <w:t>хаттамасы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Қазақстан Республикасының міндеттемелерін орындауды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озонды бұзатын заттарды 2014-2015 жылдар кезеңінде тұтыну 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(квоталары)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Климаттың өзгеруі жөніндегі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тіркеуден өтуін;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оның мемлекеттік тіркелгенінен кейін күнтізбелік он күн ішінде осы бұйрықты ресми жариялауға бұқаралық ақпарат құралдарына және «Әділет» ақпараттық құқықтық жүйеге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Энергетика вице-министрі Т.А. Ахсамбиевке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Школьник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Озонды бұзатын заттарды 2014 - 2015 жылдар кезеңінде тұтыну</w:t>
      </w:r>
      <w:r>
        <w:br/>
      </w:r>
      <w:r>
        <w:rPr>
          <w:rFonts w:ascii="Times New Roman"/>
          <w:b/>
          <w:i w:val="false"/>
          <w:color w:val="000000"/>
        </w:rPr>
        <w:t>
лимиттері (квоталары)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2"/>
        <w:gridCol w:w="8458"/>
      </w:tblGrid>
      <w:tr>
        <w:trPr>
          <w:trHeight w:val="30" w:hRule="atLeast"/>
        </w:trPr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Квоталар (тонна)*</w:t>
            </w:r>
          </w:p>
        </w:tc>
      </w:tr>
      <w:tr>
        <w:trPr>
          <w:trHeight w:val="30" w:hRule="atLeast"/>
        </w:trPr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*цифрлер Еуразиялық экономикалық қауымдастықтың шеңберінде үшінші елдермен саудалауда Кеден одағына мүше мемлекеттерге әкелуге немесе әкетуге тыйым салулар немесе шектеулер қолданылатын Тауарлардың бірыңғай тізбесінің 2.1-бөлімінің С тізімінде көрсетілген озонды бұзатын заттарға қатысты және Озон қабатын бұзатын заттар бойынша Монреаль Хаттамасының Тараптары Отырысының шешіміне сәйкес (№ ХІХ/6,2007 г) белгіленген.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сауда қызметінің қатысушылары арасында озонды бұзатын тұтынуға рұқсат етілген көлемін бөлу сыртқы сауда қызметінің і-ші қатысушысы 2011 - 2013 жылдары әкелген көлемге парапар жүзеге асырылады (V</w:t>
      </w:r>
      <w:r>
        <w:rPr>
          <w:rFonts w:ascii="Times New Roman"/>
          <w:b w:val="false"/>
          <w:i w:val="false"/>
          <w:color w:val="000000"/>
          <w:vertAlign w:val="subscript"/>
        </w:rPr>
        <w:t>i(2011)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і(2012)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і(2013)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сауда қызметінің і-ші қатысушысына озонды бұзатын тұтынуға рұқсат етілген көлемі сыртқы сауда қызметінің і-ші қатысушы белгіленген тәртіппен берген өтініште көрсетілген көлемге қарамастан, озонды бұзатын заттарды тұтынуға рұқсат етілген көлемін сәйкес есептелген көлемнен (V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) аспауы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31 қаңтарға дейін белгіленген тәртіппен озон қабатын заттарды тұтынуға өтініш берген сыртқы сауда қызметінің і-ші қатысушысы үшін озонды бұзатын заттарды тұтынуға рұқсат етілген көлемін (V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мына формула бойынша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- =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*V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мөлшерлік шектеумен белгіленген және 2014 - 2015 жылдары рұқсат етілген озонды бұзатын заттардың көлемі,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>- сыртқы сауда қызметінің әрбір қатысушысы үшін мына формула есептелген коэффициент: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i(2011)</w:t>
      </w:r>
      <w:r>
        <w:rPr>
          <w:rFonts w:ascii="Times New Roman"/>
          <w:b w:val="false"/>
          <w:i w:val="false"/>
          <w:color w:val="000000"/>
          <w:sz w:val="28"/>
        </w:rPr>
        <w:t>+V</w:t>
      </w:r>
      <w:r>
        <w:rPr>
          <w:rFonts w:ascii="Times New Roman"/>
          <w:b w:val="false"/>
          <w:i w:val="false"/>
          <w:color w:val="000000"/>
          <w:vertAlign w:val="subscript"/>
        </w:rPr>
        <w:t>i(2012)</w:t>
      </w:r>
      <w:r>
        <w:rPr>
          <w:rFonts w:ascii="Times New Roman"/>
          <w:b w:val="false"/>
          <w:i w:val="false"/>
          <w:color w:val="000000"/>
          <w:sz w:val="28"/>
        </w:rPr>
        <w:t>+V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(2013)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=</w:t>
      </w:r>
      <w:r>
        <w:rPr>
          <w:rFonts w:ascii="Times New Roman"/>
          <w:b w:val="false"/>
          <w:i w:val="false"/>
          <w:color w:val="000000"/>
          <w:vertAlign w:val="subscript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</w:t>
      </w:r>
      <w:r>
        <w:rPr>
          <w:rFonts w:ascii="Times New Roman"/>
          <w:b w:val="false"/>
          <w:i w:val="false"/>
          <w:color w:val="000000"/>
          <w:vertAlign w:val="subscript"/>
        </w:rPr>
        <w:t>жалпы(2011)</w:t>
      </w:r>
      <w:r>
        <w:rPr>
          <w:rFonts w:ascii="Times New Roman"/>
          <w:b w:val="false"/>
          <w:i w:val="false"/>
          <w:color w:val="000000"/>
          <w:sz w:val="28"/>
        </w:rPr>
        <w:t>+V</w:t>
      </w:r>
      <w:r>
        <w:rPr>
          <w:rFonts w:ascii="Times New Roman"/>
          <w:b w:val="false"/>
          <w:i w:val="false"/>
          <w:color w:val="000000"/>
          <w:vertAlign w:val="subscript"/>
        </w:rPr>
        <w:t>жалпы(2012)</w:t>
      </w:r>
      <w:r>
        <w:rPr>
          <w:rFonts w:ascii="Times New Roman"/>
          <w:b w:val="false"/>
          <w:i w:val="false"/>
          <w:color w:val="000000"/>
          <w:vertAlign w:val="subscript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жалпы(2013)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V</w:t>
      </w:r>
      <w:r>
        <w:rPr>
          <w:rFonts w:ascii="Times New Roman"/>
          <w:b w:val="false"/>
          <w:i w:val="false"/>
          <w:color w:val="000000"/>
          <w:vertAlign w:val="subscript"/>
        </w:rPr>
        <w:t>i(2011)</w:t>
      </w:r>
      <w:r>
        <w:rPr>
          <w:rFonts w:ascii="Times New Roman"/>
          <w:b w:val="false"/>
          <w:i w:val="false"/>
          <w:color w:val="000000"/>
          <w:sz w:val="28"/>
        </w:rPr>
        <w:t>— сыртқы сауда қызметінің і-ші қатысушысы 2011 жылы әкелген заттардың көлемі,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i(2012)</w:t>
      </w:r>
      <w:r>
        <w:rPr>
          <w:rFonts w:ascii="Times New Roman"/>
          <w:b w:val="false"/>
          <w:i w:val="false"/>
          <w:color w:val="000000"/>
          <w:vertAlign w:val="subscript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сыртқы сауда қызметінің і-ші қатысушысы 2012 жылы әкелген затын заттардың көлемі,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i(2013)</w:t>
      </w:r>
      <w:r>
        <w:rPr>
          <w:rFonts w:ascii="Times New Roman"/>
          <w:b w:val="false"/>
          <w:i w:val="false"/>
          <w:color w:val="000000"/>
          <w:sz w:val="28"/>
        </w:rPr>
        <w:t>- сыртқы сауда қызметінің і-ші қатысушысы 2013 жылы әкелген затын заттардың көлемі,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жалпы(2011)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сыртқы сауда қызметінің барлық қатысушылары  2011 жылы әкелген озонды бұзатын заттардың көлемі,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жалпы(2012)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сыртқы сауда қызметінің барлық қатысушылары 2012 жылы әкелген озонды бұзатын заттардың көлемі,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жалпы(2013)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сыртқы сауда қызметінің барлық қатысушылары  2013 жылы әкелген озонды бұзатын заттардың көлемі, тонна.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